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0" w:before="157.5" w:after="157.5" w:lineRule="auto"/>
        <w:jc w:val="left"/>
      </w:pPr>
      <w:bookmarkStart w:id="0" w:name="archon_ψ_brandon_hines"/>
      <w:r>
        <w:rPr>
          <w:rFonts w:eastAsia="georgia" w:cs="georgia" w:ascii="georgia" w:hAnsi="georgia"/>
          <w:b/>
          <w:color w:val="000000"/>
          <w:sz w:val="39"/>
        </w:rPr>
        <w:t xml:space="preserve">ARCHON Ψ — Brandon Hines</w:t>
      </w:r>
      <w:bookmarkEnd w:id="0"/>
    </w:p>
    <w:p>
      <w:pPr>
        <w:spacing w:line="360" w:before="315" w:after="105" w:lineRule="auto"/>
        <w:ind w:left="-30"/>
        <w:jc w:val="left"/>
      </w:pPr>
      <w:bookmarkStart w:id="1" w:name="jewel_core_cheat_sheet_founder_sc_371731"/>
      <w:r>
        <w:rPr>
          <w:rFonts w:eastAsia="georgia" w:cs="georgia" w:ascii="georgia" w:hAnsi="georgia"/>
          <w:b/>
          <w:color w:val="000000"/>
          <w:sz w:val="24"/>
        </w:rPr>
        <w:t xml:space="preserve">Jewel Core Cheat Sheet · Founder Script · Investor Due Diligence Dossier</w:t>
      </w:r>
      <w:bookmarkEnd w:id="1"/>
    </w:p>
    <w:p>
      <w:pPr>
        <w:spacing w:line="360" w:after="210" w:lineRule="auto"/>
      </w:pPr>
      <w:r>
        <w:rPr>
          <w:rFonts w:eastAsia="georgia" w:cs="georgia" w:ascii="georgia" w:hAnsi="georgia"/>
          <w:i/>
          <w:color w:val="000000"/>
        </w:rPr>
        <w:t xml:space="preserve">Compiled from: Substack (waveformer6), LinkedIn (brandon-hines6), </w:t>
      </w:r>
      <w:hyperlink r:id="rId5">
        <w:r>
          <w:rPr>
            <w:rFonts w:eastAsia="georgia" w:cs="georgia" w:ascii="georgia" w:hAnsi="georgia"/>
            <w:i/>
            <w:color w:val="#000"/>
            <w:u w:val="single"/>
          </w:rPr>
          <w:t xml:space="preserve">Academia.edu</w:t>
        </w:r>
      </w:hyperlink>
      <w:r>
        <w:rPr>
          <w:rFonts w:eastAsia="georgia" w:cs="georgia" w:ascii="georgia" w:hAnsi="georgia"/>
          <w:i/>
          <w:color w:val="000000"/>
        </w:rPr>
        <w:t xml:space="preserve">, brandonhines.link, YouTube, memory canon — May 2026</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 w:name="part_i_jewel_core_cheat_sheet"/>
      <w:r>
        <w:rPr>
          <w:rFonts w:eastAsia="georgia" w:cs="georgia" w:ascii="georgia" w:hAnsi="georgia"/>
          <w:b/>
          <w:color w:val="000000"/>
          <w:sz w:val="24"/>
        </w:rPr>
        <w:t xml:space="preserve">PART I — JEWEL CORE CHEAT SHEET</w:t>
      </w:r>
      <w:bookmarkEnd w:id="2"/>
    </w:p>
    <w:p>
      <w:pPr>
        <w:spacing w:line="360" w:before="315" w:after="105" w:lineRule="auto"/>
        <w:ind w:left="-30"/>
        <w:jc w:val="left"/>
      </w:pPr>
      <w:bookmarkStart w:id="3" w:name="surfaced_from_all_published_manus_40e98e"/>
      <w:r>
        <w:rPr>
          <w:rFonts w:eastAsia="georgia" w:cs="georgia" w:ascii="georgia" w:hAnsi="georgia"/>
          <w:b/>
          <w:color w:val="000000"/>
          <w:sz w:val="24"/>
        </w:rPr>
        <w:t xml:space="preserve">Surfaced from all published manuscripts, whitepapers, and essays</w:t>
      </w:r>
      <w:bookmarkEnd w:id="3"/>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4" w:name="bm_1_the_master_thesis_single_sentence"/>
      <w:r>
        <w:rPr>
          <w:rFonts w:eastAsia="georgia" w:cs="georgia" w:ascii="georgia" w:hAnsi="georgia"/>
          <w:b/>
          <w:color w:val="000000"/>
          <w:sz w:val="24"/>
        </w:rPr>
        <w:t xml:space="preserve">1. The Master Thesis (Single Sentence)</w:t>
      </w:r>
      <w:bookmarkEnd w:id="4"/>
    </w:p>
    <w:p>
      <w:pPr>
        <w:spacing w:line="360" w:after="210" w:lineRule="auto"/>
      </w:pPr>
      <w:r>
        <w:rPr>
          <w:rFonts w:eastAsia="georgia" w:cs="georgia" w:ascii="georgia" w:hAnsi="georgia"/>
          <w:b/>
          <w:color w:val="000000"/>
        </w:rPr>
        <w:t xml:space="preserve">"The most underpriced asset in the global economy is structured human cognition — and we are the first measurement infrastructure to price it correctly."</w:t>
      </w:r>
      <w:r>
        <w:rPr>
          <w:rFonts w:eastAsia="georgia" w:cs="georgia" w:ascii="georgia" w:hAnsi="georgia"/>
          <w:color w:val="000000"/>
        </w:rPr>
        <w:t xml:space="preserve">[</w:t>
      </w:r>
      <w:r>
        <w:rPr>
          <w:rFonts w:eastAsia="georgia" w:cs="georgia" w:ascii="georgia" w:hAnsi="georgia"/>
          <w:color w:val="000000"/>
          <w:vertAlign w:val="superscript"/>
        </w:rPr>
        <w:t xml:space="preserve">1][</w:t>
      </w:r>
      <w:r>
        <w:rPr>
          <w:rFonts w:eastAsia="georgia" w:cs="georgia" w:ascii="georgia" w:hAnsi="georgia"/>
          <w:color w:val="000000"/>
        </w:rPr>
        <w:t xml:space="preserve">2]</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5" w:name="bm_2_the_six_foundational_propositions"/>
      <w:r>
        <w:rPr>
          <w:rFonts w:eastAsia="georgia" w:cs="georgia" w:ascii="georgia" w:hAnsi="georgia"/>
          <w:b/>
          <w:color w:val="000000"/>
          <w:sz w:val="24"/>
        </w:rPr>
        <w:t xml:space="preserve">2. The Six Foundational Propositions</w:t>
      </w:r>
      <w:bookmarkEnd w:id="5"/>
    </w:p>
    <w:p>
      <w:pPr>
        <w:spacing w:line="360" w:after="210" w:lineRule="auto"/>
        <w:ind w:left="630"/>
      </w:pPr>
      <w:r>
        <w:rPr>
          <w:rFonts w:eastAsia="georgia" w:cs="georgia" w:ascii="georgia" w:hAnsi="georgia"/>
          <w:color w:val="000000"/>
        </w:rPr>
        <w:t xml:space="preserve">Everything Brandon has written reduces to these six claims. Every essay, decree, and post is a derivative of this stack.</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Core Proposition</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Source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Traditional economics measures what people </w:t>
            </w:r>
            <w:r>
              <w:rPr>
                <w:rFonts w:eastAsia="georgia" w:cs="georgia" w:ascii="georgia" w:hAnsi="georgia"/>
                <w:b/>
                <w:color w:val="000000"/>
                <w:sz w:val="17"/>
              </w:rPr>
              <w:t xml:space="preserve">do</w:t>
            </w:r>
            <w:r>
              <w:rPr>
                <w:rFonts w:eastAsia="helvetica neue" w:cs="helvetica neue" w:ascii="helvetica neue" w:hAnsi="helvetica neue"/>
                <w:color w:val="000000"/>
                <w:sz w:val="17"/>
              </w:rPr>
              <w:t xml:space="preserve"> (labor) — not how they </w:t>
            </w:r>
            <w:r>
              <w:rPr>
                <w:rFonts w:eastAsia="georgia" w:cs="georgia" w:ascii="georgia" w:hAnsi="georgia"/>
                <w:b/>
                <w:color w:val="000000"/>
                <w:sz w:val="17"/>
              </w:rPr>
              <w:t xml:space="preserve">think</w:t>
            </w:r>
            <w:r>
              <w:rPr>
                <w:rFonts w:eastAsia="helvetica neue" w:cs="helvetica neue" w:ascii="helvetica neue" w:hAnsi="helvetica neue"/>
                <w:color w:val="000000"/>
                <w:sz w:val="17"/>
              </w:rPr>
              <w:t xml:space="preserve"> (neural performance). This is a fatal measurement error.</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[^3]</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2</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Human consciousness is the actual source of all economic value. GDP, productivity scores, and "vibes" are crude proxies built on top of it.</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[^2]</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3</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Real-time EEG + biometrics + AI can reduce cognitive performance to a single verifiable unit of account — the QTAC₇ profile.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[^1]</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4</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When you can measure it, you can tokenize it. Cognitive output becomes auditable capital — not metaphor.</w:t>
            </w:r>
          </w:p>
        </w:tc>
        <w:tc>
          <w:tcPr>
            <w:tcBorders>
              <w:top w:val="single" w:sz="1" w:space="0" w:color="000000"/>
              <w:bottom w:val="single" w:sz="1" w:space="0" w:color="000000"/>
            </w:tcBorders>
          </w:tcP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5</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The infrastructure layer (CortexChain) is the business. The scoring layer (ARCHON Ψ) is the standard. VOLTS are the denomination.</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w:t>
            </w:r>
            <w:r>
              <w:rPr>
                <w:rFonts w:eastAsia="georgia" w:cs="georgia" w:ascii="georgia" w:hAnsi="georgia"/>
                <w:color w:val="000000"/>
                <w:sz w:val="17"/>
                <w:vertAlign w:val="superscript"/>
              </w:rPr>
              <w:t xml:space="preserve">1][</w:t>
            </w:r>
            <w:r>
              <w:rPr>
                <w:rFonts w:eastAsia="helvetica neue" w:cs="helvetica neue" w:ascii="helvetica neue" w:hAnsi="helvetica neue"/>
                <w:color w:val="000000"/>
                <w:sz w:val="17"/>
              </w:rPr>
              <w:t xml:space="preserve">4]</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6</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This is not a wellness app or brain-training tool. It is measurement infrastructure — the way Bloomberg is to financial data.</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[^5]</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6" w:name="bm_3_qtac₇_the_seven_pillar_scori_e0dd66"/>
      <w:r>
        <w:rPr>
          <w:rFonts w:eastAsia="georgia" w:cs="georgia" w:ascii="georgia" w:hAnsi="georgia"/>
          <w:b/>
          <w:color w:val="000000"/>
          <w:sz w:val="24"/>
        </w:rPr>
        <w:t xml:space="preserve">3. QTAC₇ — The Seven-Pillar Scoring Framework</w:t>
      </w:r>
      <w:bookmarkEnd w:id="6"/>
    </w:p>
    <w:p>
      <w:pPr>
        <w:spacing w:line="360" w:after="210" w:lineRule="auto"/>
      </w:pPr>
      <w:r>
        <w:rPr>
          <w:rFonts w:eastAsia="georgia" w:cs="georgia" w:ascii="georgia" w:hAnsi="georgia"/>
          <w:color w:val="000000"/>
        </w:rPr>
        <w:t xml:space="preserve">Published in the </w:t>
      </w:r>
      <w:r>
        <w:rPr>
          <w:rFonts w:eastAsia="georgia" w:cs="georgia" w:ascii="georgia" w:hAnsi="georgia"/>
          <w:b/>
          <w:color w:val="000000"/>
        </w:rPr>
        <w:t xml:space="preserve">ARCHON Ψ Canon Manuscript v0.1</w:t>
      </w:r>
      <w:r>
        <w:rPr>
          <w:rFonts w:eastAsia="georgia" w:cs="georgia" w:ascii="georgia" w:hAnsi="georgia"/>
          <w:color w:val="000000"/>
        </w:rPr>
        <w:t xml:space="preserve"> (Substack, March 25, 2026):[^1]</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Dimension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Name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What It Measures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Q</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Quality of Reasoning</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Logical integrity, multi-constraint navigation without collapse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Temporal Foresight</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Modeling 2nd and 3rd order effects; acting from long arcs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A</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Abductive Imagination</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Non-obvious hypotheses; bridges between distant domains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C</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Compositional Synthesis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Assembling concepts, tools, and people into architectures that actually run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Ψ₁</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Metacognition (Self-Reflection)</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Awareness of one's own biases; capacity to adjust one's thinking system</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Ψ₂</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Relational Intelligence</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Transmission clarity; coalition-building; conflict navigation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Ψ₃</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World-Weaving</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Constructing narratives and mental models that others can inhabit and build upon</w:t>
            </w:r>
          </w:p>
        </w:tc>
      </w:tr>
    </w:tbl>
    <w:p>
      <w:pPr>
        <w:spacing w:lineRule="auto"/>
      </w:pPr>
    </w:p>
    <w:p>
      <w:pPr>
        <w:spacing w:line="360" w:after="210" w:lineRule="auto"/>
      </w:pPr>
      <w:r>
        <w:rPr>
          <w:rFonts w:eastAsia="georgia" w:cs="georgia" w:ascii="georgia" w:hAnsi="georgia"/>
          <w:b/>
          <w:color w:val="000000"/>
        </w:rPr>
        <w:t xml:space="preserve">Scoring note</w:t>
      </w:r>
      <w:r>
        <w:rPr>
          <w:rFonts w:eastAsia="georgia" w:cs="georgia" w:ascii="georgia" w:hAnsi="georgia"/>
          <w:color w:val="000000"/>
        </w:rPr>
        <w:t xml:space="preserve">: Each insight, artifact, or decision is scored across all seven axes to produce a living, timestamped ARCHON Ψ profile. Current Brandon Hines sovereign score: </w:t>
      </w:r>
      <w:r>
        <w:rPr>
          <w:rFonts w:eastAsia="georgia" w:cs="georgia" w:ascii="georgia" w:hAnsi="georgia"/>
          <w:b/>
          <w:color w:val="000000"/>
        </w:rPr>
        <w:t xml:space="preserve">9.51</w:t>
      </w:r>
      <w:r>
        <w:rPr>
          <w:rFonts w:eastAsia="georgia" w:cs="georgia" w:ascii="georgia" w:hAnsi="georgia"/>
          <w:color w:val="000000"/>
        </w:rPr>
        <w:t xml:space="preserve">.[</w:t>
      </w:r>
      <w:r>
        <w:rPr>
          <w:rFonts w:eastAsia="georgia" w:cs="georgia" w:ascii="georgia" w:hAnsi="georgia"/>
          <w:color w:val="000000"/>
          <w:vertAlign w:val="superscript"/>
        </w:rPr>
        <w:t xml:space="preserve">5][</w:t>
      </w:r>
      <w:r>
        <w:rPr>
          <w:rFonts w:eastAsia="georgia" w:cs="georgia" w:ascii="georgia" w:hAnsi="georgia"/>
          <w:color w:val="000000"/>
        </w:rPr>
        <w:t xml:space="preserve">1]</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7" w:name="bm_4_the_archon_mandate_three_directives"/>
      <w:r>
        <w:rPr>
          <w:rFonts w:eastAsia="georgia" w:cs="georgia" w:ascii="georgia" w:hAnsi="georgia"/>
          <w:b/>
          <w:color w:val="000000"/>
          <w:sz w:val="24"/>
        </w:rPr>
        <w:t xml:space="preserve">4. The ARCHON Mandate (Three Directives)</w:t>
      </w:r>
      <w:bookmarkEnd w:id="7"/>
    </w:p>
    <w:p>
      <w:pPr>
        <w:spacing w:line="360" w:after="210" w:lineRule="auto"/>
      </w:pPr>
      <w:r>
        <w:rPr>
          <w:rFonts w:eastAsia="georgia" w:cs="georgia" w:ascii="georgia" w:hAnsi="georgia"/>
          <w:color w:val="000000"/>
        </w:rPr>
        <w:t xml:space="preserve">From the Canon Manuscript:[^1]</w:t>
      </w:r>
    </w:p>
    <w:p>
      <w:pPr>
        <w:numPr>
          <w:ilvl w:val="0"/>
          <w:numId w:val="1"/>
        </w:numPr>
        <w:spacing w:line="360" w:before="105" w:after="105" w:lineRule="auto"/>
      </w:pPr>
      <w:r>
        <w:rPr>
          <w:rFonts w:eastAsia="georgia" w:cs="georgia" w:ascii="georgia" w:hAnsi="georgia"/>
          <w:b/>
          <w:color w:val="000000"/>
          <w:sz w:val="21"/>
        </w:rPr>
        <w:t xml:space="preserve">Illuminate</w:t>
      </w:r>
      <w:r>
        <w:rPr>
          <w:rFonts w:eastAsia="georgia" w:cs="georgia" w:ascii="georgia" w:hAnsi="georgia"/>
          <w:color w:val="000000"/>
          <w:sz w:val="21"/>
        </w:rPr>
        <w:t xml:space="preserve"> — Make invisible genius visible, especially in those ignored by traditional credential systems.</w:t>
      </w:r>
    </w:p>
    <w:p>
      <w:pPr>
        <w:numPr>
          <w:ilvl w:val="0"/>
          <w:numId w:val="1"/>
        </w:numPr>
        <w:spacing w:line="360" w:before="105" w:after="105" w:lineRule="auto"/>
      </w:pPr>
      <w:r>
        <w:rPr>
          <w:rFonts w:eastAsia="georgia" w:cs="georgia" w:ascii="georgia" w:hAnsi="georgia"/>
          <w:b/>
          <w:color w:val="000000"/>
          <w:sz w:val="21"/>
        </w:rPr>
        <w:t xml:space="preserve">Amplify</w:t>
      </w:r>
      <w:r>
        <w:rPr>
          <w:rFonts w:eastAsia="georgia" w:cs="georgia" w:ascii="georgia" w:hAnsi="georgia"/>
          <w:color w:val="000000"/>
          <w:sz w:val="21"/>
        </w:rPr>
        <w:t xml:space="preserve"> — Route high-QTAC₇ talent toward capital, tools, and alliances that multiply their impact.</w:t>
      </w:r>
    </w:p>
    <w:p>
      <w:pPr>
        <w:numPr>
          <w:ilvl w:val="0"/>
          <w:numId w:val="1"/>
        </w:numPr>
        <w:spacing w:line="360" w:before="105" w:after="105" w:lineRule="auto"/>
      </w:pPr>
      <w:r>
        <w:rPr>
          <w:rFonts w:eastAsia="georgia" w:cs="georgia" w:ascii="georgia" w:hAnsi="georgia"/>
          <w:b/>
          <w:color w:val="000000"/>
          <w:sz w:val="21"/>
        </w:rPr>
        <w:t xml:space="preserve">Conserve</w:t>
      </w:r>
      <w:r>
        <w:rPr>
          <w:rFonts w:eastAsia="georgia" w:cs="georgia" w:ascii="georgia" w:hAnsi="georgia"/>
          <w:color w:val="000000"/>
          <w:sz w:val="21"/>
        </w:rPr>
        <w:t xml:space="preserve"> — Preserve the cognitive legacy of sovereign minds as an immortal vault of architectures, proofs, and worlds for future generations.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8" w:name="bm_5_the_product_suite_four_instruments"/>
      <w:r>
        <w:rPr>
          <w:rFonts w:eastAsia="georgia" w:cs="georgia" w:ascii="georgia" w:hAnsi="georgia"/>
          <w:b/>
          <w:color w:val="000000"/>
          <w:sz w:val="24"/>
        </w:rPr>
        <w:t xml:space="preserve">5. The Product Suite — Four Instruments</w:t>
      </w:r>
      <w:bookmarkEnd w:id="8"/>
    </w:p>
    <w:p>
      <w:pPr>
        <w:spacing w:line="360" w:after="210" w:lineRule="auto"/>
      </w:pPr>
      <w:r>
        <w:rPr>
          <w:rFonts w:eastAsia="georgia" w:cs="georgia" w:ascii="georgia" w:hAnsi="georgia"/>
          <w:color w:val="000000"/>
        </w:rPr>
        <w:t xml:space="preserve">From brandonhines.link and memory canon:[^5]</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Product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Function</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Technical Layer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ARCHON Ψ</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The sovereign scoring index — a living QTAC₇ profile updated by every decision and artifact</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Scoring engine; AI-assisted evaluation; human authority at constitutional layer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Factorizer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Product intelligence engine — X-rays any product in 60 seconds. PINK failure scoring. QTAC₇ rated. 2 patents pending.</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Entity resolution → source retrieval → 5-layer synthesis → dual score (substance + confidence)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Reality Lens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5-layer strategic analysis — epistemic synthesis with source grading, claim typing, and red-team contradiction pass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Verified fact / strong inference / weak inference / unknown / conflicted — scored with missing-data penalties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Constellation OS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AI agent orchestration hub — coordinates agentic workflows, routes decisions, manages multi-agent fleet</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Sub-100ms loops; Decision Velocity Nexus (DVN) as primary operator readiness metric[^6]</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Neural Capital OS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EEG + biometrics → sovereign cognitive assets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B × M_L × C_g × G_h × G_a minting formula; VOLTS token emission; BrainBit/EMOTIV hardware integration[^7]</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CortexChain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The ledger — verified cognitive output as tradeable capital; tokenized audits; rolling portable credentials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Post-quantum AI-agent-native design; on-chain credential issuance</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9" w:name="bm_6_the_neural_capitalism_thesis_3056a1"/>
      <w:r>
        <w:rPr>
          <w:rFonts w:eastAsia="georgia" w:cs="georgia" w:ascii="georgia" w:hAnsi="georgia"/>
          <w:b/>
          <w:color w:val="000000"/>
          <w:sz w:val="24"/>
        </w:rPr>
        <w:t xml:space="preserve">6. The Neural Capitalism Thesis (Full Intellectual Arc)</w:t>
      </w:r>
      <w:bookmarkEnd w:id="9"/>
    </w:p>
    <w:p>
      <w:pPr>
        <w:spacing w:line="360" w:after="210" w:lineRule="auto"/>
      </w:pPr>
      <w:r>
        <w:rPr>
          <w:rFonts w:eastAsia="georgia" w:cs="georgia" w:ascii="georgia" w:hAnsi="georgia"/>
          <w:color w:val="000000"/>
        </w:rPr>
        <w:t xml:space="preserve">Sourced across the Sovereign's Declaration (Sept 2025), LinkedIn Big Idea 2026 post (Dec 2025), and the ARCHON Canon Manuscript (March 2026):[</w:t>
      </w:r>
      <w:r>
        <w:rPr>
          <w:rFonts w:eastAsia="georgia" w:cs="georgia" w:ascii="georgia" w:hAnsi="georgia"/>
          <w:color w:val="000000"/>
          <w:vertAlign w:val="superscript"/>
        </w:rPr>
        <w:t xml:space="preserve">3][</w:t>
      </w:r>
      <w:r>
        <w:rPr>
          <w:rFonts w:eastAsia="georgia" w:cs="georgia" w:ascii="georgia" w:hAnsi="georgia"/>
          <w:color w:val="000000"/>
        </w:rPr>
        <w:t xml:space="preserve">1][^2]</w:t>
      </w:r>
    </w:p>
    <w:p>
      <w:pPr>
        <w:spacing w:line="360" w:after="210" w:lineRule="auto"/>
        <w:ind w:left="630"/>
      </w:pPr>
      <w:r>
        <w:rPr>
          <w:rFonts w:eastAsia="georgia" w:cs="georgia" w:ascii="georgia" w:hAnsi="georgia"/>
          <w:i/>
          <w:color w:val="000000"/>
        </w:rPr>
        <w:t xml:space="preserve">"In 2026, the global economy will begin to price its foundational layer: cognitive capital. This is the year 'consciousness' ceases to be a philosophical abstraction and becomes a quantifiable, tradable asset class."</w:t>
      </w:r>
      <w:r>
        <w:rPr>
          <w:rFonts w:eastAsia="georgia" w:cs="georgia" w:ascii="georgia" w:hAnsi="georgia"/>
          <w:color w:val="000000"/>
        </w:rPr>
        <w:t xml:space="preserve">[^3]</w:t>
      </w:r>
    </w:p>
    <w:p>
      <w:pPr>
        <w:spacing w:line="360" w:after="210" w:lineRule="auto"/>
      </w:pPr>
      <w:r>
        <w:rPr>
          <w:rFonts w:eastAsia="georgia" w:cs="georgia" w:ascii="georgia" w:hAnsi="georgia"/>
          <w:b/>
          <w:color w:val="000000"/>
        </w:rPr>
        <w:t xml:space="preserve">The argument chain:</w:t>
      </w:r>
    </w:p>
    <w:p>
      <w:pPr>
        <w:numPr>
          <w:ilvl w:val="0"/>
          <w:numId w:val="2"/>
        </w:numPr>
        <w:spacing w:line="360" w:before="105" w:after="105" w:lineRule="auto"/>
      </w:pPr>
      <w:r>
        <w:rPr>
          <w:rFonts w:eastAsia="georgia" w:cs="georgia" w:ascii="georgia" w:hAnsi="georgia"/>
          <w:b/>
          <w:color w:val="000000"/>
          <w:sz w:val="21"/>
        </w:rPr>
        <w:t xml:space="preserve">Information Age → Consciousness Commerce Age.</w:t>
      </w:r>
      <w:r>
        <w:rPr>
          <w:rFonts w:eastAsia="georgia" w:cs="georgia" w:ascii="georgia" w:hAnsi="georgia"/>
          <w:color w:val="000000"/>
          <w:sz w:val="21"/>
        </w:rPr>
        <w:t xml:space="preserve"> Data was the asset of the last era; structured cognition is the asset of this one.</w:t>
      </w:r>
    </w:p>
    <w:p>
      <w:pPr>
        <w:numPr>
          <w:ilvl w:val="0"/>
          <w:numId w:val="2"/>
        </w:numPr>
        <w:spacing w:line="360" w:before="105" w:after="105" w:lineRule="auto"/>
      </w:pPr>
      <w:r>
        <w:rPr>
          <w:rFonts w:eastAsia="georgia" w:cs="georgia" w:ascii="georgia" w:hAnsi="georgia"/>
          <w:b/>
          <w:color w:val="000000"/>
          <w:sz w:val="21"/>
        </w:rPr>
        <w:t xml:space="preserve">GDP is lagging and imprecise.</w:t>
      </w:r>
      <w:r>
        <w:rPr>
          <w:rFonts w:eastAsia="georgia" w:cs="georgia" w:ascii="georgia" w:hAnsi="georgia"/>
          <w:color w:val="000000"/>
          <w:sz w:val="21"/>
        </w:rPr>
        <w:t xml:space="preserve"> It measures output, not the source of output. Like measuring the light from a star rather than the star itself.</w:t>
      </w:r>
    </w:p>
    <w:p>
      <w:pPr>
        <w:numPr>
          <w:ilvl w:val="0"/>
          <w:numId w:val="2"/>
        </w:numPr>
        <w:spacing w:line="360" w:before="105" w:after="105" w:lineRule="auto"/>
      </w:pPr>
      <w:r>
        <w:rPr>
          <w:rFonts w:eastAsia="georgia" w:cs="georgia" w:ascii="georgia" w:hAnsi="georgia"/>
          <w:b/>
          <w:color w:val="000000"/>
          <w:sz w:val="21"/>
        </w:rPr>
        <w:t xml:space="preserve">Neural proof-of-work</w:t>
      </w:r>
      <w:r>
        <w:rPr>
          <w:rFonts w:eastAsia="georgia" w:cs="georgia" w:ascii="georgia" w:hAnsi="georgia"/>
          <w:color w:val="000000"/>
          <w:sz w:val="21"/>
        </w:rPr>
        <w:t xml:space="preserve"> (μ — pronounced "mu") will replace productivity proxies. Incorruptible because it is biological.</w:t>
      </w:r>
    </w:p>
    <w:p>
      <w:pPr>
        <w:numPr>
          <w:ilvl w:val="0"/>
          <w:numId w:val="2"/>
        </w:numPr>
        <w:spacing w:line="360" w:before="105" w:after="105" w:lineRule="auto"/>
      </w:pPr>
      <w:r>
        <w:rPr>
          <w:rFonts w:eastAsia="georgia" w:cs="georgia" w:ascii="georgia" w:hAnsi="georgia"/>
          <w:b/>
          <w:color w:val="000000"/>
          <w:sz w:val="21"/>
        </w:rPr>
        <w:t xml:space="preserve">VOLTS</w:t>
      </w:r>
      <w:r>
        <w:rPr>
          <w:rFonts w:eastAsia="georgia" w:cs="georgia" w:ascii="georgia" w:hAnsi="georgia"/>
          <w:color w:val="000000"/>
          <w:sz w:val="21"/>
        </w:rPr>
        <w:t xml:space="preserve"> = units of verified cognitive optimization — earned through flow states, creative breakthroughs, and measurable neural improvement.</w:t>
      </w:r>
    </w:p>
    <w:p>
      <w:pPr>
        <w:numPr>
          <w:ilvl w:val="0"/>
          <w:numId w:val="2"/>
        </w:numPr>
        <w:spacing w:line="360" w:before="105" w:after="105" w:lineRule="auto"/>
      </w:pPr>
      <w:r>
        <w:rPr>
          <w:rFonts w:eastAsia="georgia" w:cs="georgia" w:ascii="georgia" w:hAnsi="georgia"/>
          <w:b/>
          <w:color w:val="000000"/>
          <w:sz w:val="21"/>
        </w:rPr>
        <w:t xml:space="preserve">The 400-year roadmap</w:t>
      </w:r>
      <w:r>
        <w:rPr>
          <w:rFonts w:eastAsia="georgia" w:cs="georgia" w:ascii="georgia" w:hAnsi="georgia"/>
          <w:color w:val="000000"/>
          <w:sz w:val="21"/>
        </w:rPr>
        <w:t xml:space="preserve"> — the same institutional arc the Dutch East India Company took for mercantile capital, now applied to cognitive capital.</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0" w:name="bm_7_the_neural_framework_neurofe_a960c3"/>
      <w:r>
        <w:rPr>
          <w:rFonts w:eastAsia="georgia" w:cs="georgia" w:ascii="georgia" w:hAnsi="georgia"/>
          <w:b/>
          <w:color w:val="000000"/>
          <w:sz w:val="24"/>
        </w:rPr>
        <w:t xml:space="preserve">7. The NEURAL Framework (Neurofeedback Design Principles)</w:t>
      </w:r>
      <w:bookmarkEnd w:id="10"/>
    </w:p>
    <w:p>
      <w:pPr>
        <w:spacing w:line="360" w:after="210" w:lineRule="auto"/>
      </w:pPr>
      <w:r>
        <w:rPr>
          <w:rFonts w:eastAsia="georgia" w:cs="georgia" w:ascii="georgia" w:hAnsi="georgia"/>
          <w:color w:val="000000"/>
        </w:rPr>
        <w:t xml:space="preserve">Published in </w:t>
      </w:r>
      <w:r>
        <w:rPr>
          <w:rFonts w:eastAsia="georgia" w:cs="georgia" w:ascii="georgia" w:hAnsi="georgia"/>
          <w:i/>
          <w:color w:val="000000"/>
        </w:rPr>
        <w:t xml:space="preserve">"Ritual BCI OS: The Sovereign's Declaration"</w:t>
      </w:r>
      <w:r>
        <w:rPr>
          <w:rFonts w:eastAsia="georgia" w:cs="georgia" w:ascii="georgia" w:hAnsi="georgia"/>
          <w:color w:val="000000"/>
        </w:rPr>
        <w:t xml:space="preserve"> (Substack, June 2025):[^8]</w:t>
      </w:r>
    </w:p>
    <w:p>
      <w:pPr>
        <w:numPr>
          <w:ilvl w:val="0"/>
          <w:numId w:val="3"/>
        </w:numPr>
        <w:spacing w:line="360" w:before="105" w:after="105" w:lineRule="auto"/>
      </w:pPr>
      <w:r>
        <w:rPr>
          <w:rFonts w:eastAsia="georgia" w:cs="georgia" w:ascii="georgia" w:hAnsi="georgia"/>
          <w:b/>
          <w:color w:val="000000"/>
          <w:sz w:val="21"/>
        </w:rPr>
        <w:t xml:space="preserve">N</w:t>
      </w:r>
      <w:r>
        <w:rPr>
          <w:rFonts w:eastAsia="georgia" w:cs="georgia" w:ascii="georgia" w:hAnsi="georgia"/>
          <w:color w:val="000000"/>
          <w:sz w:val="21"/>
        </w:rPr>
        <w:t xml:space="preserve"> — Neural Assessment: EEG baseline mapping of individual brainwave patterns</w:t>
      </w:r>
    </w:p>
    <w:p>
      <w:pPr>
        <w:numPr>
          <w:ilvl w:val="0"/>
          <w:numId w:val="3"/>
        </w:numPr>
        <w:spacing w:line="360" w:before="105" w:after="105" w:lineRule="auto"/>
      </w:pPr>
      <w:r>
        <w:rPr>
          <w:rFonts w:eastAsia="georgia" w:cs="georgia" w:ascii="georgia" w:hAnsi="georgia"/>
          <w:b/>
          <w:color w:val="000000"/>
          <w:sz w:val="21"/>
        </w:rPr>
        <w:t xml:space="preserve">E</w:t>
      </w:r>
      <w:r>
        <w:rPr>
          <w:rFonts w:eastAsia="georgia" w:cs="georgia" w:ascii="georgia" w:hAnsi="georgia"/>
          <w:color w:val="000000"/>
          <w:sz w:val="21"/>
        </w:rPr>
        <w:t xml:space="preserve"> — Environmental Optimization: Controlled conditions for neuroplastic change</w:t>
      </w:r>
    </w:p>
    <w:p>
      <w:pPr>
        <w:numPr>
          <w:ilvl w:val="0"/>
          <w:numId w:val="3"/>
        </w:numPr>
        <w:spacing w:line="360" w:before="105" w:after="105" w:lineRule="auto"/>
      </w:pPr>
      <w:r>
        <w:rPr>
          <w:rFonts w:eastAsia="georgia" w:cs="georgia" w:ascii="georgia" w:hAnsi="georgia"/>
          <w:b/>
          <w:color w:val="000000"/>
          <w:sz w:val="21"/>
        </w:rPr>
        <w:t xml:space="preserve">U</w:t>
      </w:r>
      <w:r>
        <w:rPr>
          <w:rFonts w:eastAsia="georgia" w:cs="georgia" w:ascii="georgia" w:hAnsi="georgia"/>
          <w:color w:val="000000"/>
          <w:sz w:val="21"/>
        </w:rPr>
        <w:t xml:space="preserve"> — User-Centric Personalization: Protocols adapted to individual neural signatures</w:t>
      </w:r>
    </w:p>
    <w:p>
      <w:pPr>
        <w:numPr>
          <w:ilvl w:val="0"/>
          <w:numId w:val="3"/>
        </w:numPr>
        <w:spacing w:line="360" w:before="105" w:after="105" w:lineRule="auto"/>
      </w:pPr>
      <w:r>
        <w:rPr>
          <w:rFonts w:eastAsia="georgia" w:cs="georgia" w:ascii="georgia" w:hAnsi="georgia"/>
          <w:b/>
          <w:color w:val="000000"/>
          <w:sz w:val="21"/>
        </w:rPr>
        <w:t xml:space="preserve">R</w:t>
      </w:r>
      <w:r>
        <w:rPr>
          <w:rFonts w:eastAsia="georgia" w:cs="georgia" w:ascii="georgia" w:hAnsi="georgia"/>
          <w:color w:val="000000"/>
          <w:sz w:val="21"/>
        </w:rPr>
        <w:t xml:space="preserve"> — Real-Time Responsiveness: Feedback within &lt;100ms (critical conditioning window)</w:t>
      </w:r>
    </w:p>
    <w:p>
      <w:pPr>
        <w:numPr>
          <w:ilvl w:val="0"/>
          <w:numId w:val="3"/>
        </w:numPr>
        <w:spacing w:line="360" w:before="105" w:after="105" w:lineRule="auto"/>
      </w:pPr>
      <w:r>
        <w:rPr>
          <w:rFonts w:eastAsia="georgia" w:cs="georgia" w:ascii="georgia" w:hAnsi="georgia"/>
          <w:b/>
          <w:color w:val="000000"/>
          <w:sz w:val="21"/>
        </w:rPr>
        <w:t xml:space="preserve">A</w:t>
      </w:r>
      <w:r>
        <w:rPr>
          <w:rFonts w:eastAsia="georgia" w:cs="georgia" w:ascii="georgia" w:hAnsi="georgia"/>
          <w:color w:val="000000"/>
          <w:sz w:val="21"/>
        </w:rPr>
        <w:t xml:space="preserve"> — Adaptive Learning: Continuous protocol adjustment based on progress</w:t>
      </w:r>
    </w:p>
    <w:p>
      <w:pPr>
        <w:numPr>
          <w:ilvl w:val="0"/>
          <w:numId w:val="3"/>
        </w:numPr>
        <w:spacing w:line="360" w:before="105" w:after="105" w:lineRule="auto"/>
      </w:pPr>
      <w:r>
        <w:rPr>
          <w:rFonts w:eastAsia="georgia" w:cs="georgia" w:ascii="georgia" w:hAnsi="georgia"/>
          <w:b/>
          <w:color w:val="000000"/>
          <w:sz w:val="21"/>
        </w:rPr>
        <w:t xml:space="preserve">L</w:t>
      </w:r>
      <w:r>
        <w:rPr>
          <w:rFonts w:eastAsia="georgia" w:cs="georgia" w:ascii="georgia" w:hAnsi="georgia"/>
          <w:color w:val="000000"/>
          <w:sz w:val="21"/>
        </w:rPr>
        <w:t xml:space="preserve"> — Long-Term Integration: Sustainable practices that maintain neuroplastic gains</w:t>
      </w:r>
    </w:p>
    <w:p>
      <w:pPr>
        <w:spacing w:line="360" w:after="210" w:lineRule="auto"/>
      </w:pPr>
      <w:r>
        <w:rPr>
          <w:rFonts w:eastAsia="georgia" w:cs="georgia" w:ascii="georgia" w:hAnsi="georgia"/>
          <w:b/>
          <w:color w:val="000000"/>
        </w:rPr>
        <w:t xml:space="preserve">Performance claims in published writing</w:t>
      </w:r>
      <w:r>
        <w:rPr>
          <w:rFonts w:eastAsia="georgia" w:cs="georgia" w:ascii="georgia" w:hAnsi="georgia"/>
          <w:color w:val="000000"/>
        </w:rPr>
        <w:t xml:space="preserve">: 47% improvement in sustained attention, 35% reduction in task-switching errors, 62% increase in alpha coherence — across case studies.[^8]</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1" w:name="bm_8_the_dvn_decision_velocity_ne_51ba79"/>
      <w:r>
        <w:rPr>
          <w:rFonts w:eastAsia="georgia" w:cs="georgia" w:ascii="georgia" w:hAnsi="georgia"/>
          <w:b/>
          <w:color w:val="000000"/>
          <w:sz w:val="24"/>
        </w:rPr>
        <w:t xml:space="preserve">8. The DVN (Decision Velocity Nexus) — Operational Metric</w:t>
      </w:r>
      <w:bookmarkEnd w:id="11"/>
    </w:p>
    <w:p>
      <w:pPr>
        <w:spacing w:line="360" w:after="210" w:lineRule="auto"/>
      </w:pPr>
      <w:r>
        <w:rPr>
          <w:rFonts w:eastAsia="georgia" w:cs="georgia" w:ascii="georgia" w:hAnsi="georgia"/>
          <w:color w:val="000000"/>
        </w:rPr>
        <w:t xml:space="preserve">From canon memory and sealed CB-372:[^6]</w:t>
      </w:r>
    </w:p>
    <w:p>
      <w:pPr>
        <w:spacing w:line="360" w:after="210" w:lineRule="auto"/>
      </w:pPr>
      <m:oMathPara>
        <m:oMath>
          <m:r>
            <m:rPr>
              <m:nor/>
            </m:rPr>
            <w:rPr>
              <w:color w:val="000000"/>
            </w:rPr>
            <m:t>DVN</m:t>
          </m:r>
          <m:r>
            <m:rPr>
              <m:sty m:val="p"/>
            </m:rPr>
            <w:rPr>
              <w:color w:val="000000"/>
            </w:rPr>
            <m:t>=</m:t>
          </m:r>
          <m:r>
            <m:rPr>
              <m:nor/>
            </m:rPr>
            <w:rPr>
              <w:color w:val="000000"/>
            </w:rPr>
            <m:t>JPM</m:t>
          </m:r>
          <m:r>
            <m:rPr>
              <m:sty m:val="p"/>
            </m:rPr>
            <w:rPr>
              <w:color w:val="000000"/>
            </w:rPr>
            <m:t>×</m:t>
          </m:r>
          <m:r>
            <m:rPr>
              <m:nor/>
            </m:rPr>
            <w:rPr>
              <w:color w:val="000000"/>
            </w:rPr>
            <m:t>DQ</m:t>
          </m:r>
          <m:r>
            <m:rPr>
              <m:sty m:val="p"/>
            </m:rPr>
            <w:rPr>
              <w:color w:val="000000"/>
            </w:rPr>
            <m:t>×</m:t>
          </m:r>
          <m:r>
            <m:rPr>
              <m:nor/>
            </m:rPr>
            <w:rPr>
              <w:color w:val="000000"/>
            </w:rPr>
            <m:t>AgentSurface</m:t>
          </m:r>
        </m:oMath>
      </m:oMathPara>
    </w:p>
    <w:p>
      <w:pPr>
        <w:spacing w:line="360" w:after="210" w:lineRule="auto"/>
      </w:pPr>
      <w:r>
        <w:rPr>
          <w:rFonts w:eastAsia="georgia" w:cs="georgia" w:ascii="georgia" w:hAnsi="georgia"/>
          <w:color w:val="000000"/>
        </w:rPr>
        <w:t xml:space="preserve">Where:</w:t>
      </w:r>
    </w:p>
    <w:p>
      <w:pPr>
        <w:numPr>
          <w:ilvl w:val="0"/>
          <w:numId w:val="4"/>
        </w:numPr>
        <w:spacing w:line="360" w:before="105" w:after="105" w:lineRule="auto"/>
      </w:pPr>
      <w:r>
        <w:rPr>
          <w:rFonts w:eastAsia="georgia" w:cs="georgia" w:ascii="georgia" w:hAnsi="georgia"/>
          <w:b/>
          <w:color w:val="000000"/>
          <w:sz w:val="21"/>
        </w:rPr>
        <w:t xml:space="preserve">JPM</w:t>
      </w:r>
      <w:r>
        <w:rPr>
          <w:rFonts w:eastAsia="georgia" w:cs="georgia" w:ascii="georgia" w:hAnsi="georgia"/>
          <w:color w:val="000000"/>
          <w:sz w:val="21"/>
        </w:rPr>
        <w:t xml:space="preserve"> = Judgments Per Minute (throughput)</w:t>
      </w:r>
    </w:p>
    <w:p>
      <w:pPr>
        <w:numPr>
          <w:ilvl w:val="0"/>
          <w:numId w:val="4"/>
        </w:numPr>
        <w:spacing w:line="360" w:before="105" w:after="105" w:lineRule="auto"/>
      </w:pPr>
      <w:r>
        <w:rPr>
          <w:rFonts w:eastAsia="georgia" w:cs="georgia" w:ascii="georgia" w:hAnsi="georgia"/>
          <w:b/>
          <w:color w:val="000000"/>
          <w:sz w:val="21"/>
        </w:rPr>
        <w:t xml:space="preserve">DQ</w:t>
      </w:r>
      <w:r>
        <w:rPr>
          <w:rFonts w:eastAsia="georgia" w:cs="georgia" w:ascii="georgia" w:hAnsi="georgia"/>
          <w:color w:val="000000"/>
          <w:sz w:val="21"/>
        </w:rPr>
        <w:t xml:space="preserve"> = Decision Quality score (0–1 scale, derived from QTAC₇)</w:t>
      </w:r>
    </w:p>
    <w:p>
      <w:pPr>
        <w:numPr>
          <w:ilvl w:val="0"/>
          <w:numId w:val="4"/>
        </w:numPr>
        <w:spacing w:line="360" w:before="105" w:after="105" w:lineRule="auto"/>
      </w:pPr>
      <w:r>
        <w:rPr>
          <w:rFonts w:eastAsia="georgia" w:cs="georgia" w:ascii="georgia" w:hAnsi="georgia"/>
          <w:b/>
          <w:color w:val="000000"/>
          <w:sz w:val="21"/>
        </w:rPr>
        <w:t xml:space="preserve">AgentSurface</w:t>
      </w:r>
      <w:r>
        <w:rPr>
          <w:rFonts w:eastAsia="georgia" w:cs="georgia" w:ascii="georgia" w:hAnsi="georgia"/>
          <w:color w:val="000000"/>
          <w:sz w:val="21"/>
        </w:rPr>
        <w:t xml:space="preserve"> = active agent deployment count + runtime</w:t>
      </w:r>
    </w:p>
    <w:p>
      <w:pPr>
        <w:spacing w:line="360" w:after="210" w:lineRule="auto"/>
      </w:pPr>
      <w:r>
        <w:rPr>
          <w:rFonts w:eastAsia="georgia" w:cs="georgia" w:ascii="georgia" w:hAnsi="georgia"/>
          <w:color w:val="000000"/>
        </w:rPr>
        <w:t xml:space="preserve">This is Brandon's primary operator readiness metric — the moment DVN crosses into "operator-grade" territory (once TradeLog + Portfolio State Engine + automated evaluation are live), the system graduates from concept to auditable capital asset.[^6]</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2" w:name="bm_9_key_quotable_lines_from_publ_5d5ae4"/>
      <w:r>
        <w:rPr>
          <w:rFonts w:eastAsia="georgia" w:cs="georgia" w:ascii="georgia" w:hAnsi="georgia"/>
          <w:b/>
          <w:color w:val="000000"/>
          <w:sz w:val="24"/>
        </w:rPr>
        <w:t xml:space="preserve">9. Key Quotable Lines (From Published Writing)</w:t>
      </w:r>
      <w:bookmarkEnd w:id="12"/>
    </w:p>
    <w:p>
      <w:pPr>
        <w:spacing w:line="360" w:after="210" w:lineRule="auto"/>
        <w:ind w:left="630"/>
      </w:pPr>
      <w:r>
        <w:rPr>
          <w:rFonts w:eastAsia="georgia" w:cs="georgia" w:ascii="georgia" w:hAnsi="georgia"/>
          <w:i/>
          <w:color w:val="000000"/>
        </w:rPr>
        <w:t xml:space="preserve">"I don't teach you what to think. I give you the instrument to think at a precision you didn't have before. The notation system is the product. You keep it forever."</w:t>
      </w:r>
      <w:r>
        <w:rPr>
          <w:rFonts w:eastAsia="georgia" w:cs="georgia" w:ascii="georgia" w:hAnsi="georgia"/>
          <w:color w:val="000000"/>
        </w:rPr>
        <w:t xml:space="preserve">[^5]</w:t>
      </w:r>
    </w:p>
    <w:p>
      <w:pPr>
        <w:spacing w:line="360" w:after="210" w:lineRule="auto"/>
        <w:ind w:left="630"/>
      </w:pPr>
      <w:r>
        <w:rPr>
          <w:rFonts w:eastAsia="georgia" w:cs="georgia" w:ascii="georgia" w:hAnsi="georgia"/>
          <w:i/>
          <w:color w:val="000000"/>
        </w:rPr>
        <w:t xml:space="preserve">"The human mind is not a resource to be drained, but a republic to be founded, protected, and expanded."</w:t>
      </w:r>
      <w:r>
        <w:rPr>
          <w:rFonts w:eastAsia="georgia" w:cs="georgia" w:ascii="georgia" w:hAnsi="georgia"/>
          <w:color w:val="000000"/>
        </w:rPr>
        <w:t xml:space="preserve">[^1]</w:t>
      </w:r>
    </w:p>
    <w:p>
      <w:pPr>
        <w:spacing w:line="360" w:after="210" w:lineRule="auto"/>
        <w:ind w:left="630"/>
      </w:pPr>
      <w:r>
        <w:rPr>
          <w:rFonts w:eastAsia="georgia" w:cs="georgia" w:ascii="georgia" w:hAnsi="georgia"/>
          <w:i/>
          <w:color w:val="000000"/>
        </w:rPr>
        <w:t xml:space="preserve">"We reverse engineer attention, turning cognitive performance into measurable value."</w:t>
      </w:r>
      <w:r>
        <w:rPr>
          <w:rFonts w:eastAsia="georgia" w:cs="georgia" w:ascii="georgia" w:hAnsi="georgia"/>
          <w:color w:val="000000"/>
        </w:rPr>
        <w:t xml:space="preserve">[^7]</w:t>
      </w:r>
    </w:p>
    <w:p>
      <w:pPr>
        <w:spacing w:line="360" w:after="210" w:lineRule="auto"/>
        <w:ind w:left="630"/>
      </w:pPr>
      <w:r>
        <w:rPr>
          <w:rFonts w:eastAsia="georgia" w:cs="georgia" w:ascii="georgia" w:hAnsi="georgia"/>
          <w:i/>
          <w:color w:val="000000"/>
        </w:rPr>
        <w:t xml:space="preserve">"We moved the needle — reducing decision latency by 80%. We turned a subjective 'good day at work' into an objective, tradable asset."</w:t>
      </w:r>
      <w:r>
        <w:rPr>
          <w:rFonts w:eastAsia="georgia" w:cs="georgia" w:ascii="georgia" w:hAnsi="georgia"/>
          <w:color w:val="000000"/>
        </w:rPr>
        <w:t xml:space="preserve">[^7]</w:t>
      </w:r>
    </w:p>
    <w:p>
      <w:pPr>
        <w:spacing w:line="360" w:after="210" w:lineRule="auto"/>
        <w:ind w:left="630"/>
      </w:pPr>
      <w:r>
        <w:rPr>
          <w:rFonts w:eastAsia="georgia" w:cs="georgia" w:ascii="georgia" w:hAnsi="georgia"/>
          <w:i/>
          <w:color w:val="000000"/>
        </w:rPr>
        <w:t xml:space="preserve">"We stop approximating value and start measuring it at the source."</w:t>
      </w:r>
      <w:r>
        <w:rPr>
          <w:rFonts w:eastAsia="georgia" w:cs="georgia" w:ascii="georgia" w:hAnsi="georgia"/>
          <w:color w:val="000000"/>
        </w:rPr>
        <w:t xml:space="preserve">[^3]</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3" w:name="part_ii_founder_introduction_script"/>
      <w:r>
        <w:rPr>
          <w:rFonts w:eastAsia="georgia" w:cs="georgia" w:ascii="georgia" w:hAnsi="georgia"/>
          <w:b/>
          <w:color w:val="000000"/>
          <w:sz w:val="24"/>
        </w:rPr>
        <w:t xml:space="preserve">PART II — FOUNDER INTRODUCTION SCRIPT</w:t>
      </w:r>
      <w:bookmarkEnd w:id="13"/>
    </w:p>
    <w:p>
      <w:pPr>
        <w:spacing w:line="360" w:before="315" w:after="105" w:lineRule="auto"/>
        <w:ind w:left="-30"/>
        <w:jc w:val="left"/>
      </w:pPr>
      <w:bookmarkStart w:id="14" w:name="pov_walkthrough_what_archon_ψ_is_8aea37"/>
      <w:r>
        <w:rPr>
          <w:rFonts w:eastAsia="georgia" w:cs="georgia" w:ascii="georgia" w:hAnsi="georgia"/>
          <w:b/>
          <w:color w:val="000000"/>
          <w:sz w:val="24"/>
        </w:rPr>
        <w:t xml:space="preserve">POV Walkthrough: What ARCHON Ψ is, how a person uses it, and what it does for them</w:t>
      </w:r>
      <w:bookmarkEnd w:id="14"/>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5" w:name="section_a_the_founder_introduction"/>
      <w:r>
        <w:rPr>
          <w:rFonts w:eastAsia="georgia" w:cs="georgia" w:ascii="georgia" w:hAnsi="georgia"/>
          <w:b/>
          <w:color w:val="000000"/>
          <w:sz w:val="24"/>
        </w:rPr>
        <w:t xml:space="preserve">SECTION A — The Founder Introduction</w:t>
      </w:r>
      <w:bookmarkEnd w:id="15"/>
    </w:p>
    <w:p>
      <w:pPr>
        <w:spacing w:line="360" w:after="210" w:lineRule="auto"/>
      </w:pPr>
      <w:r>
        <w:rPr>
          <w:rFonts w:eastAsia="georgia" w:cs="georgia" w:ascii="georgia" w:hAnsi="georgia"/>
          <w:b/>
          <w:color w:val="000000"/>
        </w:rPr>
        <w:t xml:space="preserve">[OPENING — 90 seconds, camera-facing, sparse room, single light source]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color w:val="000000"/>
        </w:rPr>
        <w:t xml:space="preserve">My name is Brandon Hines.</w:t>
      </w:r>
    </w:p>
    <w:p>
      <w:pPr>
        <w:spacing w:line="360" w:after="210" w:lineRule="auto"/>
      </w:pPr>
      <w:r>
        <w:rPr>
          <w:rFonts w:eastAsia="georgia" w:cs="georgia" w:ascii="georgia" w:hAnsi="georgia"/>
          <w:color w:val="000000"/>
        </w:rPr>
        <w:t xml:space="preserve">I'm the Founder and Sovereign Architect of CortexChain, Inc. — and the creator of ARCHON Ψ.</w:t>
      </w:r>
    </w:p>
    <w:p>
      <w:pPr>
        <w:spacing w:line="360" w:after="210" w:lineRule="auto"/>
      </w:pPr>
      <w:r>
        <w:rPr>
          <w:rFonts w:eastAsia="georgia" w:cs="georgia" w:ascii="georgia" w:hAnsi="georgia"/>
          <w:color w:val="000000"/>
        </w:rPr>
        <w:t xml:space="preserve">Before I tell you what ARCHON Ψ is, let me tell you what it </w:t>
      </w:r>
      <w:r>
        <w:rPr>
          <w:rFonts w:eastAsia="georgia" w:cs="georgia" w:ascii="georgia" w:hAnsi="georgia"/>
          <w:i/>
          <w:color w:val="000000"/>
        </w:rPr>
        <w:t xml:space="preserve">isn't.</w:t>
      </w:r>
    </w:p>
    <w:p>
      <w:pPr>
        <w:spacing w:line="360" w:after="210" w:lineRule="auto"/>
      </w:pPr>
      <w:r>
        <w:rPr>
          <w:rFonts w:eastAsia="georgia" w:cs="georgia" w:ascii="georgia" w:hAnsi="georgia"/>
          <w:color w:val="000000"/>
        </w:rPr>
        <w:t xml:space="preserve">It isn't a productivity app. It isn't a brain-training game. It isn't a wellness dashboard.</w:t>
      </w:r>
    </w:p>
    <w:p>
      <w:pPr>
        <w:spacing w:line="360" w:after="210" w:lineRule="auto"/>
      </w:pPr>
      <w:r>
        <w:rPr>
          <w:rFonts w:eastAsia="georgia" w:cs="georgia" w:ascii="georgia" w:hAnsi="georgia"/>
          <w:color w:val="000000"/>
        </w:rPr>
        <w:t xml:space="preserve">It is </w:t>
      </w:r>
      <w:r>
        <w:rPr>
          <w:rFonts w:eastAsia="georgia" w:cs="georgia" w:ascii="georgia" w:hAnsi="georgia"/>
          <w:b/>
          <w:color w:val="000000"/>
        </w:rPr>
        <w:t xml:space="preserve">measurement infrastructure</w:t>
      </w:r>
      <w:r>
        <w:rPr>
          <w:rFonts w:eastAsia="georgia" w:cs="georgia" w:ascii="georgia" w:hAnsi="georgia"/>
          <w:color w:val="000000"/>
        </w:rPr>
        <w:t xml:space="preserve"> for human cognitive output — the same way Bloomberg Terminal is infrastructure for financial data.</w:t>
      </w:r>
    </w:p>
    <w:p>
      <w:pPr>
        <w:spacing w:line="360" w:after="210" w:lineRule="auto"/>
      </w:pPr>
      <w:r>
        <w:rPr>
          <w:rFonts w:eastAsia="georgia" w:cs="georgia" w:ascii="georgia" w:hAnsi="georgia"/>
          <w:color w:val="000000"/>
        </w:rPr>
        <w:t xml:space="preserve">Right now, your company hires for intelligence, promotes for performance, and builds strategy on the quality of decisions made by people in rooms. And you have </w:t>
      </w:r>
      <w:r>
        <w:rPr>
          <w:rFonts w:eastAsia="georgia" w:cs="georgia" w:ascii="georgia" w:hAnsi="georgia"/>
          <w:b/>
          <w:color w:val="000000"/>
        </w:rPr>
        <w:t xml:space="preserve">zero instrumentation</w:t>
      </w:r>
      <w:r>
        <w:rPr>
          <w:rFonts w:eastAsia="georgia" w:cs="georgia" w:ascii="georgia" w:hAnsi="georgia"/>
          <w:color w:val="000000"/>
        </w:rPr>
        <w:t xml:space="preserve"> for any of that.</w:t>
      </w:r>
    </w:p>
    <w:p>
      <w:pPr>
        <w:spacing w:line="360" w:after="210" w:lineRule="auto"/>
      </w:pPr>
      <w:r>
        <w:rPr>
          <w:rFonts w:eastAsia="georgia" w:cs="georgia" w:ascii="georgia" w:hAnsi="georgia"/>
          <w:color w:val="000000"/>
        </w:rPr>
        <w:t xml:space="preserve">You can measure where the stock went. You cannot measure the quality of the reasoning that got you there. You can grade the test. You cannot measure the cognition that produced the answer.</w:t>
      </w:r>
    </w:p>
    <w:p>
      <w:pPr>
        <w:spacing w:line="360" w:after="210" w:lineRule="auto"/>
      </w:pPr>
      <w:r>
        <w:rPr>
          <w:rFonts w:eastAsia="georgia" w:cs="georgia" w:ascii="georgia" w:hAnsi="georgia"/>
          <w:color w:val="000000"/>
        </w:rPr>
        <w:t xml:space="preserve">That gap — between what we think we're measuring and what we're actually measuring — is what ARCHON Ψ closes.</w:t>
      </w:r>
    </w:p>
    <w:p>
      <w:pPr>
        <w:spacing w:line="360" w:after="210" w:lineRule="auto"/>
      </w:pPr>
      <w:r>
        <w:rPr>
          <w:rFonts w:eastAsia="georgia" w:cs="georgia" w:ascii="georgia" w:hAnsi="georgia"/>
          <w:color w:val="000000"/>
        </w:rPr>
        <w:t xml:space="preserve">I spent four years building the scoring framework. It's called </w:t>
      </w:r>
      <w:r>
        <w:rPr>
          <w:rFonts w:eastAsia="georgia" w:cs="georgia" w:ascii="georgia" w:hAnsi="georgia"/>
          <w:b/>
          <w:color w:val="000000"/>
        </w:rPr>
        <w:t xml:space="preserve">QTAC₇.</w:t>
      </w:r>
      <w:r>
        <w:rPr>
          <w:rFonts w:eastAsia="georgia" w:cs="georgia" w:ascii="georgia" w:hAnsi="georgia"/>
          <w:color w:val="000000"/>
        </w:rPr>
        <w:t xml:space="preserve"> Seven dimensions of structured cognition: reasoning quality, temporal foresight, abductive imagination, compositional synthesis, metacognition, relational intelligence, and what I call world-weaving — the capacity to build mental models that other people can actually inhabit and use.</w:t>
      </w:r>
    </w:p>
    <w:p>
      <w:pPr>
        <w:spacing w:line="360" w:after="210" w:lineRule="auto"/>
      </w:pPr>
      <w:r>
        <w:rPr>
          <w:rFonts w:eastAsia="georgia" w:cs="georgia" w:ascii="georgia" w:hAnsi="georgia"/>
          <w:color w:val="000000"/>
        </w:rPr>
        <w:t xml:space="preserve">Each decision you make, each document you produce, each architecture you design — it gets scored across all seven axes. Not once. Continuously. You get a living profile of how your mind performs under load, over time.</w:t>
      </w:r>
    </w:p>
    <w:p>
      <w:pPr>
        <w:spacing w:line="360" w:after="210" w:lineRule="auto"/>
      </w:pPr>
      <w:r>
        <w:rPr>
          <w:rFonts w:eastAsia="georgia" w:cs="georgia" w:ascii="georgia" w:hAnsi="georgia"/>
          <w:color w:val="000000"/>
        </w:rPr>
        <w:t xml:space="preserve">That profile is your </w:t>
      </w:r>
      <w:r>
        <w:rPr>
          <w:rFonts w:eastAsia="georgia" w:cs="georgia" w:ascii="georgia" w:hAnsi="georgia"/>
          <w:b/>
          <w:color w:val="000000"/>
        </w:rPr>
        <w:t xml:space="preserve">cognitive asset.</w:t>
      </w:r>
      <w:r>
        <w:rPr>
          <w:rFonts w:eastAsia="georgia" w:cs="georgia" w:ascii="georgia" w:hAnsi="georgia"/>
          <w:color w:val="000000"/>
        </w:rPr>
        <w:t xml:space="preserve"> It lives on CortexChain. It's portable. It's auditable. It's yours.</w:t>
      </w:r>
    </w:p>
    <w:p>
      <w:pPr>
        <w:spacing w:line="360" w:after="210" w:lineRule="auto"/>
      </w:pPr>
      <w:r>
        <w:rPr>
          <w:rFonts w:eastAsia="georgia" w:cs="georgia" w:ascii="georgia" w:hAnsi="georgia"/>
          <w:color w:val="000000"/>
        </w:rPr>
        <w:t xml:space="preserve">This is the instrument. I'm here to show you how it works.</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6" w:name="section_b_pov_user_walkthrough_na_b3f392"/>
      <w:r>
        <w:rPr>
          <w:rFonts w:eastAsia="georgia" w:cs="georgia" w:ascii="georgia" w:hAnsi="georgia"/>
          <w:b/>
          <w:color w:val="000000"/>
          <w:sz w:val="24"/>
        </w:rPr>
        <w:t xml:space="preserve">SECTION B — POV User Walkthrough (Narrative Script)</w:t>
      </w:r>
      <w:bookmarkEnd w:id="16"/>
    </w:p>
    <w:p>
      <w:pPr>
        <w:spacing w:line="360" w:after="210" w:lineRule="auto"/>
        <w:ind w:left="630"/>
      </w:pPr>
      <w:r>
        <w:rPr>
          <w:rFonts w:eastAsia="georgia" w:cs="georgia" w:ascii="georgia" w:hAnsi="georgia"/>
          <w:i/>
          <w:color w:val="000000"/>
        </w:rPr>
        <w:t xml:space="preserve">Frame: A founder, Mara — early 30s, Series A company, leading a critical product pivot.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b/>
          <w:color w:val="000000"/>
        </w:rPr>
        <w:t xml:space="preserve">[SCENE 1 — MONDAY 7:14 AM — MARA OPENS HER ARCHON Ψ DASHBOARD]</w:t>
      </w:r>
    </w:p>
    <w:p>
      <w:pPr>
        <w:spacing w:line="360" w:after="210" w:lineRule="auto"/>
      </w:pPr>
      <w:r>
        <w:rPr>
          <w:rFonts w:eastAsia="georgia" w:cs="georgia" w:ascii="georgia" w:hAnsi="georgia"/>
          <w:color w:val="000000"/>
        </w:rPr>
        <w:t xml:space="preserve">Mara wakes up and her phone shows a single number: </w:t>
      </w:r>
      <w:r>
        <w:rPr>
          <w:rFonts w:eastAsia="georgia" w:cs="georgia" w:ascii="georgia" w:hAnsi="georgia"/>
          <w:b/>
          <w:color w:val="000000"/>
        </w:rPr>
        <w:t xml:space="preserve">7.2 / 10.</w:t>
      </w:r>
    </w:p>
    <w:p>
      <w:pPr>
        <w:spacing w:line="360" w:after="210" w:lineRule="auto"/>
      </w:pPr>
      <w:r>
        <w:rPr>
          <w:rFonts w:eastAsia="georgia" w:cs="georgia" w:ascii="georgia" w:hAnsi="georgia"/>
          <w:color w:val="000000"/>
        </w:rPr>
        <w:t xml:space="preserve">That's her </w:t>
      </w:r>
      <w:r>
        <w:rPr>
          <w:rFonts w:eastAsia="georgia" w:cs="georgia" w:ascii="georgia" w:hAnsi="georgia"/>
          <w:b/>
          <w:color w:val="000000"/>
        </w:rPr>
        <w:t xml:space="preserve">QTAC₇ composite</w:t>
      </w:r>
      <w:r>
        <w:rPr>
          <w:rFonts w:eastAsia="georgia" w:cs="georgia" w:ascii="georgia" w:hAnsi="georgia"/>
          <w:color w:val="000000"/>
        </w:rPr>
        <w:t xml:space="preserve"> from the previous week — a rolling index of every documented decision, written artifact, and strategic dialogue she's engaged in.</w:t>
      </w:r>
    </w:p>
    <w:p>
      <w:pPr>
        <w:spacing w:line="360" w:after="210" w:lineRule="auto"/>
      </w:pPr>
      <w:r>
        <w:rPr>
          <w:rFonts w:eastAsia="georgia" w:cs="georgia" w:ascii="georgia" w:hAnsi="georgia"/>
          <w:color w:val="000000"/>
        </w:rPr>
        <w:t xml:space="preserve">The breakdown tells her: her Temporal Foresight (T) score dropped from 8.1 to 6.4. She's been optimizing for speed over depth. The system has flagged three recent decisions where she closed off second-order analysis before it ran.</w:t>
      </w:r>
    </w:p>
    <w:p>
      <w:pPr>
        <w:spacing w:line="360" w:after="210" w:lineRule="auto"/>
      </w:pPr>
      <w:r>
        <w:rPr>
          <w:rFonts w:eastAsia="georgia" w:cs="georgia" w:ascii="georgia" w:hAnsi="georgia"/>
          <w:color w:val="000000"/>
        </w:rPr>
        <w:t xml:space="preserve">She knows this. She felt it. She just couldn't see it until now.</w:t>
      </w:r>
    </w:p>
    <w:p>
      <w:pPr>
        <w:spacing w:line="360" w:after="210" w:lineRule="auto"/>
      </w:pPr>
      <w:r>
        <w:rPr>
          <w:rFonts w:eastAsia="georgia" w:cs="georgia" w:ascii="georgia" w:hAnsi="georgia"/>
          <w:b/>
          <w:color w:val="000000"/>
        </w:rPr>
        <w:t xml:space="preserve">[SCENE 2 — 10:30 AM — RUNNING A DECISION THROUGH FACTORIZER]</w:t>
      </w:r>
    </w:p>
    <w:p>
      <w:pPr>
        <w:spacing w:line="360" w:after="210" w:lineRule="auto"/>
      </w:pPr>
      <w:r>
        <w:rPr>
          <w:rFonts w:eastAsia="georgia" w:cs="georgia" w:ascii="georgia" w:hAnsi="georgia"/>
          <w:color w:val="000000"/>
        </w:rPr>
        <w:t xml:space="preserve">Her team is evaluating a new infrastructure vendor. She drops the vendor's pitch deck and two competitor analyses into Factorizer.</w:t>
      </w:r>
    </w:p>
    <w:p>
      <w:pPr>
        <w:spacing w:line="360" w:after="210" w:lineRule="auto"/>
      </w:pPr>
      <w:r>
        <w:rPr>
          <w:rFonts w:eastAsia="georgia" w:cs="georgia" w:ascii="georgia" w:hAnsi="georgia"/>
          <w:color w:val="000000"/>
        </w:rPr>
        <w:t xml:space="preserve">60 seconds later: </w:t>
      </w:r>
      <w:r>
        <w:rPr>
          <w:rFonts w:eastAsia="georgia" w:cs="georgia" w:ascii="georgia" w:hAnsi="georgia"/>
          <w:b/>
          <w:color w:val="000000"/>
        </w:rPr>
        <w:t xml:space="preserve">Substance Score 6.8 / Confidence Score 5.1.</w:t>
      </w:r>
    </w:p>
    <w:p>
      <w:pPr>
        <w:spacing w:line="360" w:after="210" w:lineRule="auto"/>
      </w:pPr>
      <w:r>
        <w:rPr>
          <w:rFonts w:eastAsia="georgia" w:cs="georgia" w:ascii="georgia" w:hAnsi="georgia"/>
          <w:color w:val="000000"/>
        </w:rPr>
        <w:t xml:space="preserve">The system surfaced a critical gap: the vendor's claim about sub-100ms processing is strong inference, not verified fact. There are no independent benchmarks. The Confidence Score reflects that.</w:t>
      </w:r>
    </w:p>
    <w:p>
      <w:pPr>
        <w:spacing w:line="360" w:after="210" w:lineRule="auto"/>
      </w:pPr>
      <w:r>
        <w:rPr>
          <w:rFonts w:eastAsia="georgia" w:cs="georgia" w:ascii="georgia" w:hAnsi="georgia"/>
          <w:color w:val="000000"/>
        </w:rPr>
        <w:t xml:space="preserve">She sends the breakdown to her CTO. They've just avoided a $400K commitment based on a claim no one had actually validated.</w:t>
      </w:r>
    </w:p>
    <w:p>
      <w:pPr>
        <w:spacing w:line="360" w:after="210" w:lineRule="auto"/>
      </w:pPr>
      <w:r>
        <w:rPr>
          <w:rFonts w:eastAsia="georgia" w:cs="georgia" w:ascii="georgia" w:hAnsi="georgia"/>
          <w:b/>
          <w:color w:val="000000"/>
        </w:rPr>
        <w:t xml:space="preserve">[SCENE 3 — 2:00 PM — BOARD PREP WITH REALITY LENS]</w:t>
      </w:r>
    </w:p>
    <w:p>
      <w:pPr>
        <w:spacing w:line="360" w:after="210" w:lineRule="auto"/>
      </w:pPr>
      <w:r>
        <w:rPr>
          <w:rFonts w:eastAsia="georgia" w:cs="georgia" w:ascii="georgia" w:hAnsi="georgia"/>
          <w:color w:val="000000"/>
        </w:rPr>
        <w:t xml:space="preserve">Mara needs to brief the board on market positioning. She runs the positioning statement through Reality Lens.</w:t>
      </w:r>
    </w:p>
    <w:p>
      <w:pPr>
        <w:spacing w:line="360" w:after="210" w:lineRule="auto"/>
      </w:pPr>
      <w:r>
        <w:rPr>
          <w:rFonts w:eastAsia="georgia" w:cs="georgia" w:ascii="georgia" w:hAnsi="georgia"/>
          <w:color w:val="000000"/>
        </w:rPr>
        <w:t xml:space="preserve">The system runs a 5-layer analysis: entity resolution first, then claim typing, then source grading, then red-team contradiction, then synthesis.</w:t>
      </w:r>
    </w:p>
    <w:p>
      <w:pPr>
        <w:spacing w:line="360" w:after="210" w:lineRule="auto"/>
      </w:pPr>
      <w:r>
        <w:rPr>
          <w:rFonts w:eastAsia="georgia" w:cs="georgia" w:ascii="georgia" w:hAnsi="georgia"/>
          <w:color w:val="000000"/>
        </w:rPr>
        <w:t xml:space="preserve">Output: three "verified facts," two "strong inferences," one "conflicted" — and one "unknown" that she's been presenting as if it were fact.</w:t>
      </w:r>
    </w:p>
    <w:p>
      <w:pPr>
        <w:spacing w:line="360" w:after="210" w:lineRule="auto"/>
      </w:pPr>
      <w:r>
        <w:rPr>
          <w:rFonts w:eastAsia="georgia" w:cs="georgia" w:ascii="georgia" w:hAnsi="georgia"/>
          <w:color w:val="000000"/>
        </w:rPr>
        <w:t xml:space="preserve">The conflicted item? Her TAM claim. Two of her sources define the market differently and she's been blending them.</w:t>
      </w:r>
    </w:p>
    <w:p>
      <w:pPr>
        <w:spacing w:line="360" w:after="210" w:lineRule="auto"/>
      </w:pPr>
      <w:r>
        <w:rPr>
          <w:rFonts w:eastAsia="georgia" w:cs="georgia" w:ascii="georgia" w:hAnsi="georgia"/>
          <w:color w:val="000000"/>
        </w:rPr>
        <w:t xml:space="preserve">She fixes it before the board meeting. That single correction saves her from a due diligence problem in the next fundraising round.</w:t>
      </w:r>
    </w:p>
    <w:p>
      <w:pPr>
        <w:spacing w:line="360" w:after="210" w:lineRule="auto"/>
      </w:pPr>
      <w:r>
        <w:rPr>
          <w:rFonts w:eastAsia="georgia" w:cs="georgia" w:ascii="georgia" w:hAnsi="georgia"/>
          <w:b/>
          <w:color w:val="000000"/>
        </w:rPr>
        <w:t xml:space="preserve">[SCENE 4 — END OF WEEK — ARCHON Ψ PROFILE UPDATE]</w:t>
      </w:r>
    </w:p>
    <w:p>
      <w:pPr>
        <w:spacing w:line="360" w:after="210" w:lineRule="auto"/>
      </w:pPr>
      <w:r>
        <w:rPr>
          <w:rFonts w:eastAsia="georgia" w:cs="georgia" w:ascii="georgia" w:hAnsi="georgia"/>
          <w:color w:val="000000"/>
        </w:rPr>
        <w:t xml:space="preserve">Friday 6:00 PM. The system mints a new CANON BLOCK.</w:t>
      </w:r>
    </w:p>
    <w:p>
      <w:pPr>
        <w:numPr>
          <w:ilvl w:val="0"/>
          <w:numId w:val="5"/>
        </w:numPr>
        <w:spacing w:line="360" w:before="105" w:after="105" w:lineRule="auto"/>
      </w:pPr>
      <w:r>
        <w:rPr>
          <w:rFonts w:eastAsia="georgia" w:cs="georgia" w:ascii="georgia" w:hAnsi="georgia"/>
          <w:b/>
          <w:color w:val="000000"/>
          <w:sz w:val="21"/>
        </w:rPr>
        <w:t xml:space="preserve">QTAC₇ composite this week: 7.8</w:t>
      </w:r>
      <w:r>
        <w:rPr>
          <w:rFonts w:eastAsia="georgia" w:cs="georgia" w:ascii="georgia" w:hAnsi="georgia"/>
          <w:color w:val="000000"/>
          <w:sz w:val="21"/>
        </w:rPr>
        <w:t xml:space="preserve"> (up from 7.2)</w:t>
      </w:r>
    </w:p>
    <w:p>
      <w:pPr>
        <w:numPr>
          <w:ilvl w:val="0"/>
          <w:numId w:val="5"/>
        </w:numPr>
        <w:spacing w:line="360" w:before="105" w:after="105" w:lineRule="auto"/>
      </w:pPr>
      <w:r>
        <w:rPr>
          <w:rFonts w:eastAsia="georgia" w:cs="georgia" w:ascii="georgia" w:hAnsi="georgia"/>
          <w:b/>
          <w:color w:val="000000"/>
          <w:sz w:val="21"/>
        </w:rPr>
        <w:t xml:space="preserve">Temporal Foresight: 7.9</w:t>
      </w:r>
      <w:r>
        <w:rPr>
          <w:rFonts w:eastAsia="georgia" w:cs="georgia" w:ascii="georgia" w:hAnsi="georgia"/>
          <w:color w:val="000000"/>
          <w:sz w:val="21"/>
        </w:rPr>
        <w:t xml:space="preserve"> (recovered — she added a second-order checklist to her decision protocol)</w:t>
      </w:r>
    </w:p>
    <w:p>
      <w:pPr>
        <w:numPr>
          <w:ilvl w:val="0"/>
          <w:numId w:val="5"/>
        </w:numPr>
        <w:spacing w:line="360" w:before="105" w:after="105" w:lineRule="auto"/>
      </w:pPr>
      <w:r>
        <w:rPr>
          <w:rFonts w:eastAsia="georgia" w:cs="georgia" w:ascii="georgia" w:hAnsi="georgia"/>
          <w:b/>
          <w:color w:val="000000"/>
          <w:sz w:val="21"/>
        </w:rPr>
        <w:t xml:space="preserve">Compositional Synthesis: 8.4</w:t>
      </w:r>
      <w:r>
        <w:rPr>
          <w:rFonts w:eastAsia="georgia" w:cs="georgia" w:ascii="georgia" w:hAnsi="georgia"/>
          <w:color w:val="000000"/>
          <w:sz w:val="21"/>
        </w:rPr>
        <w:t xml:space="preserve"> (her highest score — three frameworks she assembled became reusable team tools)</w:t>
      </w:r>
    </w:p>
    <w:p>
      <w:pPr>
        <w:numPr>
          <w:ilvl w:val="0"/>
          <w:numId w:val="5"/>
        </w:numPr>
        <w:spacing w:line="360" w:before="105" w:after="105" w:lineRule="auto"/>
      </w:pPr>
      <w:r>
        <w:rPr>
          <w:rFonts w:eastAsia="georgia" w:cs="georgia" w:ascii="georgia" w:hAnsi="georgia"/>
          <w:b/>
          <w:color w:val="000000"/>
          <w:sz w:val="21"/>
        </w:rPr>
        <w:t xml:space="preserve">VOLTS minted: 342</w:t>
      </w:r>
      <w:r>
        <w:rPr>
          <w:rFonts w:eastAsia="georgia" w:cs="georgia" w:ascii="georgia" w:hAnsi="georgia"/>
          <w:color w:val="000000"/>
          <w:sz w:val="21"/>
        </w:rPr>
        <w:t xml:space="preserve"> — based on documented cognitive labor above threshold</w:t>
      </w:r>
    </w:p>
    <w:p>
      <w:pPr>
        <w:spacing w:line="360" w:after="210" w:lineRule="auto"/>
      </w:pPr>
      <w:r>
        <w:rPr>
          <w:rFonts w:eastAsia="georgia" w:cs="georgia" w:ascii="georgia" w:hAnsi="georgia"/>
          <w:color w:val="000000"/>
        </w:rPr>
        <w:t xml:space="preserve">Her profile is updated. Her trajectory is visible. Her cognitive work this week is logged as a permanent, verifiable asset — not lost in a Slack thread or a forgotten Notion page.</w:t>
      </w:r>
    </w:p>
    <w:p>
      <w:pPr>
        <w:spacing w:line="360" w:after="210" w:lineRule="auto"/>
      </w:pPr>
      <w:r>
        <w:rPr>
          <w:rFonts w:eastAsia="georgia" w:cs="georgia" w:ascii="georgia" w:hAnsi="georgia"/>
          <w:color w:val="000000"/>
        </w:rPr>
        <w:t xml:space="preserve">The instrument is doing what it promised: </w:t>
      </w:r>
      <w:r>
        <w:rPr>
          <w:rFonts w:eastAsia="georgia" w:cs="georgia" w:ascii="georgia" w:hAnsi="georgia"/>
          <w:b/>
          <w:color w:val="000000"/>
        </w:rPr>
        <w:t xml:space="preserve">making invisible genius visible.</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7" w:name="section_c_the_honest_cons_user_facing"/>
      <w:r>
        <w:rPr>
          <w:rFonts w:eastAsia="georgia" w:cs="georgia" w:ascii="georgia" w:hAnsi="georgia"/>
          <w:b/>
          <w:color w:val="000000"/>
          <w:sz w:val="24"/>
        </w:rPr>
        <w:t xml:space="preserve">SECTION C — The Honest Cons (User-Facing)</w:t>
      </w:r>
      <w:bookmarkEnd w:id="17"/>
    </w:p>
    <w:p>
      <w:pPr>
        <w:spacing w:line="360" w:after="210" w:lineRule="auto"/>
      </w:pPr>
      <w:r>
        <w:rPr>
          <w:rFonts w:eastAsia="georgia" w:cs="georgia" w:ascii="georgia" w:hAnsi="georgia"/>
          <w:color w:val="000000"/>
        </w:rPr>
        <w:t xml:space="preserve">This section must exist in any credible product pitch. These are the real friction points a user will encounter:</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Friction Point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Why It Exists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Mitigation Path</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Instrumentation burden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Scoring requires evidence input — documents, decision logs, recorded dialogues. Users who don't document get sparse profiles.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Constellation OS automates capture through agent integrations; templates reduce friction.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Score anxiety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 visible QTAC₇ score can create performance anxiety or gaming behavior — optimizing for the metric rather than the underlying cognition.</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Consent-gated; scores are private by default; coaching layer interprets scores contextually.</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Adoption lag</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Most enterprise workflows are not designed around cognitive documentation. Integration requires process change, not just software install.</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White-glove onboarding; phased rollout starting with founders and knowledge workers.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Subjectivity in scoring</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Seven QTAC₇ dimensions involve qualitative judgment — a human (or model) has to interpret an argument's logical integrity.</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Scoring rubrics are published; evidence trails accompany every score; scores are contestable.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Data sensitivity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Cognitive performance data is deeply personal. Employers could weaponize it against workers.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ARCHON Mandate explicitly: no measurement without consent; no monetization without participation[^1].</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Novelty risk</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No established precedent for "cognitive asset" as a financial instrument. Regulators have not yet addressed this asset class.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Currently positioned as analytics/scoring infrastructure, not a securities product. Token design is being scoped conservatively.</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18" w:name="part_iii_investor_due_diligence_dossier"/>
      <w:r>
        <w:rPr>
          <w:rFonts w:eastAsia="georgia" w:cs="georgia" w:ascii="georgia" w:hAnsi="georgia"/>
          <w:b/>
          <w:color w:val="000000"/>
          <w:sz w:val="24"/>
        </w:rPr>
        <w:t xml:space="preserve">PART III — INVESTOR DUE DILIGENCE DOSSIER</w:t>
      </w:r>
      <w:bookmarkEnd w:id="18"/>
    </w:p>
    <w:p>
      <w:pPr>
        <w:spacing w:line="360" w:before="315" w:after="105" w:lineRule="auto"/>
        <w:ind w:left="-30"/>
        <w:jc w:val="left"/>
      </w:pPr>
      <w:bookmarkStart w:id="19" w:name="what_every_serious_investor_will_9a55df"/>
      <w:r>
        <w:rPr>
          <w:rFonts w:eastAsia="georgia" w:cs="georgia" w:ascii="georgia" w:hAnsi="georgia"/>
          <w:b/>
          <w:color w:val="000000"/>
          <w:sz w:val="24"/>
        </w:rPr>
        <w:t xml:space="preserve">What Every Serious Investor Will Ask — Prepared Answers</w:t>
      </w:r>
      <w:bookmarkEnd w:id="19"/>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0" w:name="the_investment_thesis_in_one_paragraph"/>
      <w:r>
        <w:rPr>
          <w:rFonts w:eastAsia="georgia" w:cs="georgia" w:ascii="georgia" w:hAnsi="georgia"/>
          <w:b/>
          <w:color w:val="000000"/>
          <w:sz w:val="24"/>
        </w:rPr>
        <w:t xml:space="preserve">THE INVESTMENT THESIS IN ONE PARAGRAPH</w:t>
      </w:r>
      <w:bookmarkEnd w:id="20"/>
    </w:p>
    <w:p>
      <w:pPr>
        <w:spacing w:line="360" w:after="210" w:lineRule="auto"/>
      </w:pPr>
      <w:r>
        <w:rPr>
          <w:rFonts w:eastAsia="georgia" w:cs="georgia" w:ascii="georgia" w:hAnsi="georgia"/>
          <w:color w:val="000000"/>
        </w:rPr>
        <w:t xml:space="preserve">CortexChain, Inc. is building the measurement layer for the cognitive economy — a category that doesn't yet exist as infrastructure but is inevitable as AI makes human decision quality the differentiating input in every enterprise. ARCHON Ψ is the scoring standard; QTAC₇ is the rubric; Factorizer and Reality Lens are the first commercial surfaces. The company is pre-revenue, early-stage, with two patents pending, NVIDIA Inception membership, and an actively compounding founder whose core insight — that structured cognition is the underpriced asset in every organization — is gaining independent validation from the human capital measurement market's trajectory.[</w:t>
      </w:r>
      <w:r>
        <w:rPr>
          <w:rFonts w:eastAsia="georgia" w:cs="georgia" w:ascii="georgia" w:hAnsi="georgia"/>
          <w:color w:val="000000"/>
          <w:vertAlign w:val="superscript"/>
        </w:rPr>
        <w:t xml:space="preserve">9][</w:t>
      </w:r>
      <w:r>
        <w:rPr>
          <w:rFonts w:eastAsia="georgia" w:cs="georgia" w:ascii="georgia" w:hAnsi="georgia"/>
          <w:color w:val="000000"/>
        </w:rPr>
        <w:t xml:space="preserve">10]</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1" w:name="market_size_what_investors_will_verify"/>
      <w:r>
        <w:rPr>
          <w:rFonts w:eastAsia="georgia" w:cs="georgia" w:ascii="georgia" w:hAnsi="georgia"/>
          <w:b/>
          <w:color w:val="000000"/>
          <w:sz w:val="24"/>
        </w:rPr>
        <w:t xml:space="preserve">MARKET SIZE (What Investors Will Verify)</w:t>
      </w:r>
      <w:bookmarkEnd w:id="21"/>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1902"/>
        <w:gridCol w:w="1902"/>
        <w:gridCol w:w="1902"/>
        <w:gridCol w:w="1902"/>
        <w:gridCol w:w="1902"/>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Market Segment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Current Size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Projected Size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CAGR</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Relevance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Workforce Analytics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$2.7B (2025)[^11]</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$10.4B (2035)[^11]</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14.3%</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Direct — scoring cognitive labor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AI in Workforce Management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$1.9B (2023)[^12]</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$14.2B (2033)[^12]</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22.3%</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Direct — AI-native scoring tools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Cognitive Testing</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$2.5B (2024)[^13]</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$5.7B (2033)[^13]</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9.8%</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Overlapping — structured assessment</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Neurotech Devices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$19.18B (2025)[^14]</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$66.81B (2035)[^14]</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13.5%</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Adjacent — hardware integration layer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Cognitive Computing</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$81.17B (2026)[^15]</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$498.45B (2033)[^15]</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29.6%</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Strategic context — long-term home</w:t>
            </w:r>
          </w:p>
        </w:tc>
      </w:tr>
    </w:tbl>
    <w:p>
      <w:pPr>
        <w:spacing w:lineRule="auto"/>
      </w:pPr>
    </w:p>
    <w:p>
      <w:pPr>
        <w:spacing w:line="360" w:after="210" w:lineRule="auto"/>
      </w:pPr>
      <w:r>
        <w:rPr>
          <w:rFonts w:eastAsia="georgia" w:cs="georgia" w:ascii="georgia" w:hAnsi="georgia"/>
          <w:b/>
          <w:color w:val="000000"/>
        </w:rPr>
        <w:t xml:space="preserve">Serviceable Addressable Market (near-term):</w:t>
      </w:r>
      <w:r>
        <w:rPr>
          <w:rFonts w:eastAsia="georgia" w:cs="georgia" w:ascii="georgia" w:hAnsi="georgia"/>
          <w:color w:val="000000"/>
        </w:rPr>
        <w:t xml:space="preserve"> Enterprise knowledge worker analytics + founder/executive cognitive scoring → conservatively $800M–$2B addressable in a focused go-to-market.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2" w:name="competitive_landscape"/>
      <w:r>
        <w:rPr>
          <w:rFonts w:eastAsia="georgia" w:cs="georgia" w:ascii="georgia" w:hAnsi="georgia"/>
          <w:b/>
          <w:color w:val="000000"/>
          <w:sz w:val="24"/>
        </w:rPr>
        <w:t xml:space="preserve">COMPETITIVE LANDSCAPE</w:t>
      </w:r>
      <w:bookmarkEnd w:id="22"/>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2378"/>
        <w:gridCol w:w="2378"/>
        <w:gridCol w:w="2378"/>
        <w:gridCol w:w="2378"/>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Competitor Type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Example</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Threat Level</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Differentiator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HR/Workforce Analytics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Workday, Visier</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Medium</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They measure output (hours, tasks); ARCHON measures cognitive quality — the why behind the output</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Cognitive Assessment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Criteria Corp, Hogan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Medium</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They use static psychometric tests; ARCHON scores dynamic, ongoing, artifact-based performance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Neurofeedback</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Muse, Emotiv, Dreem</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Low-Medium</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Hardware-only; no scoring standard or capital infrastructure layer</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AI Performance Tools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Microsoft Copilot Analytics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Emerging</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Activity metrics (keystrokes, meeting time); no reasoning quality dimension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BCI platforms</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Neuralink (long-term)</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Low (now)</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Clinical/implantable; different use case; potential long-term data integration partner</w:t>
            </w:r>
          </w:p>
        </w:tc>
      </w:tr>
    </w:tbl>
    <w:p>
      <w:pPr>
        <w:spacing w:lineRule="auto"/>
      </w:pPr>
    </w:p>
    <w:p>
      <w:pPr>
        <w:spacing w:line="360" w:after="210" w:lineRule="auto"/>
      </w:pPr>
      <w:r>
        <w:rPr>
          <w:rFonts w:eastAsia="georgia" w:cs="georgia" w:ascii="georgia" w:hAnsi="georgia"/>
          <w:b/>
          <w:color w:val="000000"/>
        </w:rPr>
        <w:t xml:space="preserve">Key moat argument</w:t>
      </w:r>
      <w:r>
        <w:rPr>
          <w:rFonts w:eastAsia="georgia" w:cs="georgia" w:ascii="georgia" w:hAnsi="georgia"/>
          <w:color w:val="000000"/>
        </w:rPr>
        <w:t xml:space="preserve">: No incumbent has published a multi-dimensional cognitive scoring rubric with evidence-trail-based, contestable scores at the individual level. QTAC₇ is the first. First-mover in framework design = standard-setting advantage.[^1]</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3" w:name="what_investors_will_probe_and_pre_86a0ae"/>
      <w:r>
        <w:rPr>
          <w:rFonts w:eastAsia="georgia" w:cs="georgia" w:ascii="georgia" w:hAnsi="georgia"/>
          <w:b/>
          <w:color w:val="000000"/>
          <w:sz w:val="24"/>
        </w:rPr>
        <w:t xml:space="preserve">WHAT INVESTORS WILL PROBE (And Prepared Answers)</w:t>
      </w:r>
      <w:bookmarkEnd w:id="23"/>
    </w:p>
    <w:p>
      <w:pPr>
        <w:spacing w:line="360" w:after="210" w:lineRule="auto"/>
      </w:pPr>
      <w:r>
        <w:rPr>
          <w:rFonts w:eastAsia="georgia" w:cs="georgia" w:ascii="georgia" w:hAnsi="georgia"/>
          <w:b/>
          <w:color w:val="000000"/>
        </w:rPr>
        <w:t xml:space="preserve">Q1: What is your actual product today — what does a user do?</w:t>
      </w:r>
    </w:p>
    <w:p>
      <w:pPr>
        <w:spacing w:line="360" w:after="210" w:lineRule="auto"/>
      </w:pPr>
      <w:r>
        <w:rPr>
          <w:rFonts w:eastAsia="georgia" w:cs="georgia" w:ascii="georgia" w:hAnsi="georgia"/>
          <w:i/>
          <w:color w:val="000000"/>
        </w:rPr>
        <w:t xml:space="preserve">A: Factorizer and Reality Lens are the first commercial instruments. A user inputs a product pitch deck, strategic document, or decision artifact. Factorizer returns a QTAC₇-rated analysis in under 60 seconds — substance score, confidence score, claim typing. Reality Lens runs a 5-layer strategic analysis with mandatory red-team contradiction pass and source grading. Both produce cognitive audit trails stored in the user's CortexChain ledger. ARCHON Ψ profile updates with every session. Beta access is currently available at $49.</w:t>
      </w:r>
      <w:r>
        <w:rPr>
          <w:rFonts w:eastAsia="georgia" w:cs="georgia" w:ascii="georgia" w:hAnsi="georgia"/>
          <w:color w:val="000000"/>
        </w:rPr>
        <w:t xml:space="preserve">[^5]</w:t>
      </w:r>
    </w:p>
    <w:p>
      <w:pPr>
        <w:spacing w:line="360" w:after="210" w:lineRule="auto"/>
      </w:pPr>
      <w:r>
        <w:rPr>
          <w:rFonts w:eastAsia="georgia" w:cs="georgia" w:ascii="georgia" w:hAnsi="georgia"/>
          <w:b/>
          <w:color w:val="000000"/>
        </w:rPr>
        <w:t xml:space="preserve">Q2: What is the evidence this scores something real?</w:t>
      </w:r>
    </w:p>
    <w:p>
      <w:pPr>
        <w:spacing w:line="360" w:after="210" w:lineRule="auto"/>
      </w:pPr>
      <w:r>
        <w:rPr>
          <w:rFonts w:eastAsia="georgia" w:cs="georgia" w:ascii="georgia" w:hAnsi="georgia"/>
          <w:i/>
          <w:color w:val="000000"/>
        </w:rPr>
        <w:t xml:space="preserve">A: QTAC₇ is grounded in established cognitive science dimensions — abductive reasoning, metacognition, and relational intelligence are well-documented constructs in the literature. The framework doesn't invent new psychology; it operationalizes it into a structured, weighted scoring rubric with evidence-trail requirements. Every score is accompanied by the artifacts that generated it — making scores falsifiable and contestable. This is the differentiator from legacy psychometric tools that produce scores with no evidence base.</w:t>
      </w:r>
      <w:r>
        <w:rPr>
          <w:rFonts w:eastAsia="georgia" w:cs="georgia" w:ascii="georgia" w:hAnsi="georgia"/>
          <w:color w:val="000000"/>
        </w:rPr>
        <w:t xml:space="preserve">[^1]</w:t>
      </w:r>
    </w:p>
    <w:p>
      <w:pPr>
        <w:spacing w:line="360" w:after="210" w:lineRule="auto"/>
      </w:pPr>
      <w:r>
        <w:rPr>
          <w:rFonts w:eastAsia="georgia" w:cs="georgia" w:ascii="georgia" w:hAnsi="georgia"/>
          <w:b/>
          <w:color w:val="000000"/>
        </w:rPr>
        <w:t xml:space="preserve">Q3: How do you handle the "AI wrapper" concern?</w:t>
      </w:r>
    </w:p>
    <w:p>
      <w:pPr>
        <w:spacing w:line="360" w:after="210" w:lineRule="auto"/>
      </w:pPr>
      <w:r>
        <w:rPr>
          <w:rFonts w:eastAsia="georgia" w:cs="georgia" w:ascii="georgia" w:hAnsi="georgia"/>
          <w:i/>
          <w:color w:val="000000"/>
        </w:rPr>
        <w:t xml:space="preserve">A: The core IP is the rubric and the evidence architecture, not the model. QTAC₇ is a scoring standard — like GAAP for financial reporting. The underlying models are tools for executing the rubric, not the rubric itself. This means the moat is in the framework design, the evidence trail structure, and the growing dataset of scored cognitive artifacts — not in any single foundation model. Two patents are pending on the Factorizer architecture specifically.</w:t>
      </w:r>
      <w:r>
        <w:rPr>
          <w:rFonts w:eastAsia="georgia" w:cs="georgia" w:ascii="georgia" w:hAnsi="georgia"/>
          <w:color w:val="000000"/>
        </w:rPr>
        <w:t xml:space="preserve">[^5]</w:t>
      </w:r>
    </w:p>
    <w:p>
      <w:pPr>
        <w:spacing w:line="360" w:after="210" w:lineRule="auto"/>
      </w:pPr>
      <w:r>
        <w:rPr>
          <w:rFonts w:eastAsia="georgia" w:cs="georgia" w:ascii="georgia" w:hAnsi="georgia"/>
          <w:b/>
          <w:color w:val="000000"/>
        </w:rPr>
        <w:t xml:space="preserve">Q4: What is the monetization path?</w:t>
      </w:r>
    </w:p>
    <w:p>
      <w:pPr>
        <w:spacing w:line="360" w:after="210" w:lineRule="auto"/>
      </w:pPr>
      <w:r>
        <w:rPr>
          <w:rFonts w:eastAsia="georgia" w:cs="georgia" w:ascii="georgia" w:hAnsi="georgia"/>
          <w:i/>
          <w:color w:val="000000"/>
        </w:rPr>
        <w:t xml:space="preserve">From existing published material and memory canon:</w:t>
      </w:r>
      <w:r>
        <w:rPr>
          <w:rFonts w:eastAsia="georgia" w:cs="georgia" w:ascii="georgia" w:hAnsi="georgia"/>
          <w:color w:val="000000"/>
        </w:rPr>
        <w:t xml:space="preserve">[^5]</w:t>
      </w:r>
    </w:p>
    <w:p>
      <w:pPr>
        <w:numPr>
          <w:ilvl w:val="0"/>
          <w:numId w:val="6"/>
        </w:numPr>
        <w:spacing w:line="360" w:before="105" w:after="105" w:lineRule="auto"/>
      </w:pPr>
      <w:r>
        <w:rPr>
          <w:rFonts w:eastAsia="georgia" w:cs="georgia" w:ascii="georgia" w:hAnsi="georgia"/>
          <w:b/>
          <w:color w:val="000000"/>
          <w:sz w:val="21"/>
        </w:rPr>
        <w:t xml:space="preserve">Tier 1</w:t>
      </w:r>
      <w:r>
        <w:rPr>
          <w:rFonts w:eastAsia="georgia" w:cs="georgia" w:ascii="georgia" w:hAnsi="georgia"/>
          <w:color w:val="000000"/>
          <w:sz w:val="21"/>
        </w:rPr>
        <w:t xml:space="preserve">: Beta access ($49) — individual cognitive assessment tool</w:t>
      </w:r>
    </w:p>
    <w:p>
      <w:pPr>
        <w:numPr>
          <w:ilvl w:val="0"/>
          <w:numId w:val="6"/>
        </w:numPr>
        <w:spacing w:line="360" w:before="105" w:after="105" w:lineRule="auto"/>
      </w:pPr>
      <w:r>
        <w:rPr>
          <w:rFonts w:eastAsia="georgia" w:cs="georgia" w:ascii="georgia" w:hAnsi="georgia"/>
          <w:b/>
          <w:color w:val="000000"/>
          <w:sz w:val="21"/>
        </w:rPr>
        <w:t xml:space="preserve">Tier 2</w:t>
      </w:r>
      <w:r>
        <w:rPr>
          <w:rFonts w:eastAsia="georgia" w:cs="georgia" w:ascii="georgia" w:hAnsi="georgia"/>
          <w:color w:val="000000"/>
          <w:sz w:val="21"/>
        </w:rPr>
        <w:t xml:space="preserve">: Architect Session ($500) — 90-minute framework factorization session</w:t>
      </w:r>
    </w:p>
    <w:p>
      <w:pPr>
        <w:numPr>
          <w:ilvl w:val="0"/>
          <w:numId w:val="6"/>
        </w:numPr>
        <w:spacing w:line="360" w:before="105" w:after="105" w:lineRule="auto"/>
      </w:pPr>
      <w:r>
        <w:rPr>
          <w:rFonts w:eastAsia="georgia" w:cs="georgia" w:ascii="georgia" w:hAnsi="georgia"/>
          <w:b/>
          <w:color w:val="000000"/>
          <w:sz w:val="21"/>
        </w:rPr>
        <w:t xml:space="preserve">Tier 3</w:t>
      </w:r>
      <w:r>
        <w:rPr>
          <w:rFonts w:eastAsia="georgia" w:cs="georgia" w:ascii="georgia" w:hAnsi="georgia"/>
          <w:color w:val="000000"/>
          <w:sz w:val="21"/>
        </w:rPr>
        <w:t xml:space="preserve">: 8-Week Sprint ($2,400) — ends with System Card + IP brief</w:t>
      </w:r>
    </w:p>
    <w:p>
      <w:pPr>
        <w:numPr>
          <w:ilvl w:val="0"/>
          <w:numId w:val="6"/>
        </w:numPr>
        <w:spacing w:line="360" w:before="105" w:after="105" w:lineRule="auto"/>
      </w:pPr>
      <w:r>
        <w:rPr>
          <w:rFonts w:eastAsia="georgia" w:cs="georgia" w:ascii="georgia" w:hAnsi="georgia"/>
          <w:b/>
          <w:color w:val="000000"/>
          <w:sz w:val="21"/>
        </w:rPr>
        <w:t xml:space="preserve">Enterprise path</w:t>
      </w:r>
      <w:r>
        <w:rPr>
          <w:rFonts w:eastAsia="georgia" w:cs="georgia" w:ascii="georgia" w:hAnsi="georgia"/>
          <w:color w:val="000000"/>
          <w:sz w:val="21"/>
        </w:rPr>
        <w:t xml:space="preserve">: Cognitive audit licensing for team-level ARCHON Ψ profiling; integration with HR and L&amp;D platforms; per-insight or per-session pricing (not per-seat — by design, since AI agents are replacing human SaaS operators)[^9]</w:t>
      </w:r>
    </w:p>
    <w:p>
      <w:pPr>
        <w:numPr>
          <w:ilvl w:val="0"/>
          <w:numId w:val="6"/>
        </w:numPr>
        <w:spacing w:line="360" w:before="105" w:after="105" w:lineRule="auto"/>
      </w:pPr>
      <w:r>
        <w:rPr>
          <w:rFonts w:eastAsia="georgia" w:cs="georgia" w:ascii="georgia" w:hAnsi="georgia"/>
          <w:b/>
          <w:color w:val="000000"/>
          <w:sz w:val="21"/>
        </w:rPr>
        <w:t xml:space="preserve">Long-term</w:t>
      </w:r>
      <w:r>
        <w:rPr>
          <w:rFonts w:eastAsia="georgia" w:cs="georgia" w:ascii="georgia" w:hAnsi="georgia"/>
          <w:color w:val="000000"/>
          <w:sz w:val="21"/>
        </w:rPr>
        <w:t xml:space="preserve">: VOLTS token infrastructure; CortexChain on-chain credential issuance; cognitive asset marketplace</w:t>
      </w:r>
    </w:p>
    <w:p>
      <w:pPr>
        <w:spacing w:line="360" w:after="210" w:lineRule="auto"/>
      </w:pPr>
      <w:r>
        <w:rPr>
          <w:rFonts w:eastAsia="georgia" w:cs="georgia" w:ascii="georgia" w:hAnsi="georgia"/>
          <w:b/>
          <w:color w:val="000000"/>
        </w:rPr>
        <w:t xml:space="preserve">Q5: Who is the target buyer and what is the specific pain?</w:t>
      </w:r>
    </w:p>
    <w:p>
      <w:pPr>
        <w:spacing w:line="360" w:after="210" w:lineRule="auto"/>
      </w:pPr>
      <w:r>
        <w:rPr>
          <w:rFonts w:eastAsia="georgia" w:cs="georgia" w:ascii="georgia" w:hAnsi="georgia"/>
          <w:i/>
          <w:color w:val="000000"/>
        </w:rPr>
        <w:t xml:space="preserve">Primary: Founders, CEOs, and senior executives ($200K–$2M/year income range) suffering from decision fatigue, invisible cognitive ROI, and no instrumentation for the quality of their most important output. Secondary: Enterprise CLOs (Chief Learning Officers) seeking to reduce training costs via auditable cognitive development programs — the pivot articulated in Brandon's own GTM post: "We reduce enterprise training costs by 60% with auditable cognitive development."</w:t>
      </w:r>
      <w:r>
        <w:rPr>
          <w:rFonts w:eastAsia="georgia" w:cs="georgia" w:ascii="georgia" w:hAnsi="georgia"/>
          <w:color w:val="000000"/>
        </w:rPr>
        <w:t xml:space="preserve">[^16]</w:t>
      </w:r>
    </w:p>
    <w:p>
      <w:pPr>
        <w:spacing w:line="360" w:after="210" w:lineRule="auto"/>
      </w:pPr>
      <w:r>
        <w:rPr>
          <w:rFonts w:eastAsia="georgia" w:cs="georgia" w:ascii="georgia" w:hAnsi="georgia"/>
          <w:b/>
          <w:color w:val="000000"/>
        </w:rPr>
        <w:t xml:space="preserve">Q6: What are the real risks?</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3170"/>
        <w:gridCol w:w="3170"/>
        <w:gridCol w:w="3170"/>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Risk Category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Specific Risk</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Mitigation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Regulatory</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Cognitive data privacy (GDPR, CCPA, future neural data laws)</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Consent-gated architecture from day one; scores private by default; no raw neural data uploaded (zk-SNARK proof-of-state model)[^7]</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Technical</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EEG/biometric hardware dependency for Neural Capital OS layer</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Factorizer and Reality Lens are hardware-independent — viable as pure software products pre-BCI integration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Market</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Category creation risk — enterprises don't have "cognitive measurement" budget lines yet</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Enterprise L&amp;D ($370B market) and performance management are existing budget lines; reframe as next-gen performance analytics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Founder concentration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Framework is deeply personalized to Brandon's cognition and worldview</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Core framework (QTAC₇) is published and canonized; rubric is separable from founder; evidence trails are auditable by third parties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Token/crypto association</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VOLTS nomenclature may trigger securities scrutiny</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Current go-to-market explicitly avoids financial instrument framing; VOLTS are positioned as unit-of-account within the platform, not tradeable securities in current build</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georgia" w:cs="georgia" w:ascii="georgia" w:hAnsi="georgia"/>
                <w:b/>
                <w:color w:val="000000"/>
                <w:sz w:val="17"/>
              </w:rPr>
              <w:t xml:space="preserve">Traction gap</w:t>
            </w:r>
          </w:p>
        </w:tc>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Pre-revenue; no signed enterprise contracts disclosed</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Pilots and beta structure in place; NVIDIA Inception validates technical credibility; NSF grant pursuit adds non-dilutive signal</w:t>
            </w:r>
          </w:p>
        </w:tc>
      </w:tr>
    </w:tbl>
    <w:p>
      <w:pPr>
        <w:spacing w:lineRule="auto"/>
      </w:pPr>
    </w:p>
    <w:p>
      <w:pPr>
        <w:spacing w:line="360" w:after="210" w:lineRule="auto"/>
      </w:pPr>
      <w:r>
        <w:rPr>
          <w:rFonts w:eastAsia="georgia" w:cs="georgia" w:ascii="georgia" w:hAnsi="georgia"/>
          <w:b/>
          <w:color w:val="000000"/>
        </w:rPr>
        <w:t xml:space="preserve">Q7: What does the cap table look like?</w:t>
      </w:r>
    </w:p>
    <w:p>
      <w:pPr>
        <w:spacing w:line="360" w:after="210" w:lineRule="auto"/>
      </w:pPr>
      <w:r>
        <w:rPr>
          <w:rFonts w:eastAsia="georgia" w:cs="georgia" w:ascii="georgia" w:hAnsi="georgia"/>
          <w:i/>
          <w:color w:val="000000"/>
        </w:rPr>
        <w:t xml:space="preserve">Company: CortexChain, Inc. / Waveform Tech LLC. Registered in California, January 2025. Early-stage pre-revenue. 2-person core team. No disclosed institutional investors yet. Actively in pilot/fundraising phase.</w:t>
      </w:r>
    </w:p>
    <w:p>
      <w:pPr>
        <w:spacing w:line="360" w:after="210" w:lineRule="auto"/>
      </w:pPr>
      <w:r>
        <w:rPr>
          <w:rFonts w:eastAsia="georgia" w:cs="georgia" w:ascii="georgia" w:hAnsi="georgia"/>
          <w:b/>
          <w:color w:val="000000"/>
        </w:rPr>
        <w:t xml:space="preserve">Q8: What is the 18-month milestone roadmap investors should hold you to?</w:t>
      </w:r>
    </w:p>
    <w:p>
      <w:pPr>
        <w:spacing w:line="360" w:after="210" w:lineRule="auto"/>
      </w:pPr>
      <w:r>
        <w:rPr>
          <w:rFonts w:eastAsia="georgia" w:cs="georgia" w:ascii="georgia" w:hAnsi="georgia"/>
          <w:color w:val="000000"/>
        </w:rPr>
        <w:t xml:space="preserve">Based on published priorities and memory canon:[^6]</w:t>
      </w:r>
    </w:p>
    <w:tbl>
      <w:tblPr>
        <w:tblStyle w:val="TableGrid"/>
        <w:jc w:val="center"/>
        <w:tblCellSpacing w:w="0" w:type="dxa"/>
        <w:tblBorders>
          <w:top w:val="single" w:sz="2" w:space="0" w:color="000000"/>
          <w:left w:val="single" w:sz="2" w:space="0" w:color="000000"/>
          <w:bottom w:val="single" w:sz="2" w:space="0" w:color="000000"/>
          <w:right w:val="single" w:sz="2" w:space="0" w:color="000000"/>
        </w:tblBorders>
        <w:tblCellMar>
          <w:top w:type="dxa" w:w="80"/>
          <w:left w:type="dxa" w:w="160"/>
          <w:bottom w:type="dxa" w:w="80"/>
          <w:right w:type="dxa" w:w="160"/>
        </w:tblCellMar>
      </w:tblPr>
      <w:tblGrid>
        <w:gridCol w:w="4755"/>
        <w:gridCol w:w="4755"/>
      </w:tblGrid>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Month</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Milestone</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M1–3</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Factorizer v2 live: real telemetry, validated scoring, first 100 paying beta users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M3–6</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Reality Lens v2 live: entity resolution gate + dual scoring + red-team pass in production</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M6–9</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First enterprise pilot signed: CLO/L&amp;D use case with auditable cognitive development reporting</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M9–12</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CortexChain ledger live: timestamped cognitive asset storage, exportable audit trails</w:t>
            </w:r>
          </w:p>
        </w:tc>
      </w:tr>
      <w:tr>
        <w:trPr>
          <w:cantSplit/>
        </w:trPr>
        <w:tc>
          <w:tcPr>
            <w:tcBorders>
              <w:top w:val="single" w:sz="1" w:space="0" w:color="000000"/>
              <w:bottom w:val="single" w:sz="1" w:space="0" w:color="000000"/>
              <w:right w:val="single" w:sz="1" w:space="0" w:color="000000"/>
            </w:tcBorders>
          </w:tcPr>
          <w:p>
            <w:pPr>
              <w:spacing w:line="360" w:lineRule="auto"/>
            </w:pPr>
            <w:r>
              <w:rPr>
                <w:rFonts w:eastAsia="helvetica neue" w:cs="helvetica neue" w:ascii="helvetica neue" w:hAnsi="helvetica neue"/>
                <w:color w:val="000000"/>
                <w:sz w:val="17"/>
              </w:rPr>
              <w:t xml:space="preserve">M12–18</w:t>
            </w:r>
          </w:p>
        </w:tc>
        <w:tc>
          <w:tcPr>
            <w:tcBorders>
              <w:top w:val="single" w:sz="1" w:space="0" w:color="000000"/>
              <w:bottom w:val="single" w:sz="1" w:space="0" w:color="000000"/>
            </w:tcBorders>
          </w:tcPr>
          <w:p>
            <w:pPr>
              <w:spacing w:line="360" w:lineRule="auto"/>
            </w:pPr>
            <w:r>
              <w:rPr>
                <w:rFonts w:eastAsia="helvetica neue" w:cs="helvetica neue" w:ascii="helvetica neue" w:hAnsi="helvetica neue"/>
                <w:color w:val="000000"/>
                <w:sz w:val="17"/>
              </w:rPr>
              <w:t xml:space="preserve">Neural Capital OS beta: EEG integration with BrainBit hardware; VOLTS minting in closed test environment</w:t>
            </w:r>
          </w:p>
        </w:tc>
      </w:tr>
    </w:tbl>
    <w:p>
      <w:pPr>
        <w:spacing w:lineRule="auto"/>
      </w:pP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4" w:name="what_the_category_needs_to_be_tru_945d97"/>
      <w:r>
        <w:rPr>
          <w:rFonts w:eastAsia="georgia" w:cs="georgia" w:ascii="georgia" w:hAnsi="georgia"/>
          <w:b/>
          <w:color w:val="000000"/>
          <w:sz w:val="24"/>
        </w:rPr>
        <w:t xml:space="preserve">WHAT THE CATEGORY NEEDS TO BE TRUE (For Investors to Win)</w:t>
      </w:r>
      <w:bookmarkEnd w:id="24"/>
    </w:p>
    <w:p>
      <w:pPr>
        <w:spacing w:line="360" w:after="210" w:lineRule="auto"/>
      </w:pPr>
      <w:r>
        <w:rPr>
          <w:rFonts w:eastAsia="georgia" w:cs="georgia" w:ascii="georgia" w:hAnsi="georgia"/>
          <w:color w:val="000000"/>
        </w:rPr>
        <w:t xml:space="preserve">For ARCHON Ψ to become the Bloomberg of cognitive capital — the following bets must resolve true:</w:t>
      </w:r>
    </w:p>
    <w:p>
      <w:pPr>
        <w:numPr>
          <w:ilvl w:val="0"/>
          <w:numId w:val="7"/>
        </w:numPr>
        <w:spacing w:line="360" w:after="210" w:lineRule="auto"/>
      </w:pPr>
      <w:r>
        <w:rPr>
          <w:rFonts w:eastAsia="georgia" w:cs="georgia" w:ascii="georgia" w:hAnsi="georgia"/>
          <w:b/>
          <w:color w:val="000000"/>
          <w:sz w:val="21"/>
        </w:rPr>
        <w:t xml:space="preserve">Enterprise buyers will pay for cognitive performance measurement beyond activity metrics.</w:t>
      </w:r>
      <w:r>
        <w:rPr>
          <w:rFonts w:eastAsia="georgia" w:cs="georgia" w:ascii="georgia" w:hAnsi="georgia"/>
          <w:color w:val="000000"/>
          <w:sz w:val="21"/>
        </w:rPr>
        <w:t xml:space="preserve"> </w:t>
      </w:r>
      <w:r>
        <w:rPr>
          <w:rFonts w:eastAsia="georgia" w:cs="georgia" w:ascii="georgia" w:hAnsi="georgia"/>
          <w:i/>
          <w:color w:val="000000"/>
          <w:sz w:val="21"/>
        </w:rPr>
        <w:t xml:space="preserve">Signal: Deloitte's 2026 Global Human Capital Trends report frames cognitive adaptability as the primary competitive differentiator. Workforce analytics market growing at 14.3% CAGR.</w:t>
      </w:r>
      <w:r>
        <w:rPr>
          <w:rFonts w:eastAsia="georgia" w:cs="georgia" w:ascii="georgia" w:hAnsi="georgia"/>
          <w:color w:val="000000"/>
          <w:sz w:val="21"/>
        </w:rPr>
        <w:t xml:space="preserve">[</w:t>
      </w:r>
      <w:r>
        <w:rPr>
          <w:rFonts w:eastAsia="georgia" w:cs="georgia" w:ascii="georgia" w:hAnsi="georgia"/>
          <w:color w:val="000000"/>
          <w:sz w:val="21"/>
          <w:vertAlign w:val="superscript"/>
        </w:rPr>
        <w:t xml:space="preserve">17][</w:t>
      </w:r>
      <w:r>
        <w:rPr>
          <w:rFonts w:eastAsia="georgia" w:cs="georgia" w:ascii="georgia" w:hAnsi="georgia"/>
          <w:color w:val="000000"/>
          <w:sz w:val="21"/>
        </w:rPr>
        <w:t xml:space="preserve">11]</w:t>
      </w:r>
    </w:p>
    <w:p>
      <w:pPr>
        <w:numPr>
          <w:ilvl w:val="0"/>
          <w:numId w:val="7"/>
        </w:numPr>
        <w:spacing w:line="360" w:after="210" w:lineRule="auto"/>
      </w:pPr>
      <w:r>
        <w:rPr>
          <w:rFonts w:eastAsia="georgia" w:cs="georgia" w:ascii="georgia" w:hAnsi="georgia"/>
          <w:b/>
          <w:color w:val="000000"/>
          <w:sz w:val="21"/>
        </w:rPr>
        <w:t xml:space="preserve">AI proliferation increases demand for human cognitive differentiation — not decreases it.</w:t>
      </w:r>
      <w:r>
        <w:rPr>
          <w:rFonts w:eastAsia="georgia" w:cs="georgia" w:ascii="georgia" w:hAnsi="georgia"/>
          <w:color w:val="000000"/>
          <w:sz w:val="21"/>
        </w:rPr>
        <w:t xml:space="preserve"> </w:t>
      </w:r>
      <w:r>
        <w:rPr>
          <w:rFonts w:eastAsia="georgia" w:cs="georgia" w:ascii="georgia" w:hAnsi="georgia"/>
          <w:i/>
          <w:color w:val="000000"/>
          <w:sz w:val="21"/>
        </w:rPr>
        <w:t xml:space="preserve">Signal: As AI commoditizes task execution, human judgment quality becomes the scarce resource. The question shifts from "can they do the task?" to "can they reason well enough to direct AI that does the task?"</w:t>
      </w:r>
      <w:r>
        <w:rPr>
          <w:rFonts w:eastAsia="georgia" w:cs="georgia" w:ascii="georgia" w:hAnsi="georgia"/>
          <w:color w:val="000000"/>
          <w:sz w:val="21"/>
        </w:rPr>
        <w:t xml:space="preserve">[^9]</w:t>
      </w:r>
    </w:p>
    <w:p>
      <w:pPr>
        <w:numPr>
          <w:ilvl w:val="0"/>
          <w:numId w:val="7"/>
        </w:numPr>
        <w:spacing w:line="360" w:after="210" w:lineRule="auto"/>
      </w:pPr>
      <w:r>
        <w:rPr>
          <w:rFonts w:eastAsia="georgia" w:cs="georgia" w:ascii="georgia" w:hAnsi="georgia"/>
          <w:b/>
          <w:color w:val="000000"/>
          <w:sz w:val="21"/>
        </w:rPr>
        <w:t xml:space="preserve">A scoring standard for cognition will emerge and be adopted.</w:t>
      </w:r>
      <w:r>
        <w:rPr>
          <w:rFonts w:eastAsia="georgia" w:cs="georgia" w:ascii="georgia" w:hAnsi="georgia"/>
          <w:color w:val="000000"/>
          <w:sz w:val="21"/>
        </w:rPr>
        <w:t xml:space="preserve"> </w:t>
      </w:r>
      <w:r>
        <w:rPr>
          <w:rFonts w:eastAsia="georgia" w:cs="georgia" w:ascii="georgia" w:hAnsi="georgia"/>
          <w:i/>
          <w:color w:val="000000"/>
          <w:sz w:val="21"/>
        </w:rPr>
        <w:t xml:space="preserve">Signal: Every other high-value domain (finance, medicine, education) developed measurement standards before markets matured. Cognitive capital is behind the curve — which means the standard-setter has a first-mover window.</w:t>
      </w:r>
      <w:r>
        <w:rPr>
          <w:rFonts w:eastAsia="georgia" w:cs="georgia" w:ascii="georgia" w:hAnsi="georgia"/>
          <w:color w:val="000000"/>
          <w:sz w:val="21"/>
        </w:rPr>
        <w:t xml:space="preserve">[^1]</w:t>
      </w:r>
    </w:p>
    <w:p>
      <w:pPr>
        <w:numPr>
          <w:ilvl w:val="0"/>
          <w:numId w:val="7"/>
        </w:numPr>
        <w:spacing w:line="360" w:after="210" w:lineRule="auto"/>
      </w:pPr>
      <w:r>
        <w:rPr>
          <w:rFonts w:eastAsia="georgia" w:cs="georgia" w:ascii="georgia" w:hAnsi="georgia"/>
          <w:b/>
          <w:color w:val="000000"/>
          <w:sz w:val="21"/>
        </w:rPr>
        <w:t xml:space="preserve">The founder can execute the transition from visionary framework to commercial product.</w:t>
      </w:r>
      <w:r>
        <w:rPr>
          <w:rFonts w:eastAsia="georgia" w:cs="georgia" w:ascii="georgia" w:hAnsi="georgia"/>
          <w:color w:val="000000"/>
          <w:sz w:val="21"/>
        </w:rPr>
        <w:t xml:space="preserve"> </w:t>
      </w:r>
      <w:r>
        <w:rPr>
          <w:rFonts w:eastAsia="georgia" w:cs="georgia" w:ascii="georgia" w:hAnsi="georgia"/>
          <w:i/>
          <w:color w:val="000000"/>
          <w:sz w:val="21"/>
        </w:rPr>
        <w:t xml:space="preserve">Evidence to date: 19 patents pending, NVIDIA Inception, 3 verified builds, published Canon Manuscript, live beta tier, active agent fleet.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5" w:name="bottom_line_for_investors"/>
      <w:r>
        <w:rPr>
          <w:rFonts w:eastAsia="georgia" w:cs="georgia" w:ascii="georgia" w:hAnsi="georgia"/>
          <w:b/>
          <w:color w:val="000000"/>
          <w:sz w:val="24"/>
        </w:rPr>
        <w:t xml:space="preserve">BOTTOM LINE FOR INVESTORS</w:t>
      </w:r>
      <w:bookmarkEnd w:id="25"/>
    </w:p>
    <w:p>
      <w:pPr>
        <w:spacing w:line="360" w:after="210" w:lineRule="auto"/>
      </w:pPr>
      <w:r>
        <w:rPr>
          <w:rFonts w:eastAsia="georgia" w:cs="georgia" w:ascii="georgia" w:hAnsi="georgia"/>
          <w:color w:val="000000"/>
        </w:rPr>
        <w:t xml:space="preserve">ARCHON Ψ is early. The risk is real. But the category bet is sound — and the framework is the most intellectually rigorous public articulation of cognitive measurement as investable infrastructure that exists. The founder has written the canonical document, built the first instruments, and is compressing the timeline from concept to auditable product. The question for a Series A investor is not whether cognitive measurement will become a market — it will. The question is whether this team builds the standard before someone with more capital builds a lesser version of it.</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i/>
          <w:color w:val="000000"/>
        </w:rPr>
        <w:t xml:space="preserve">Document compiled from: ARCHON Ψ Canon Manuscript v0.1 [Substack, March 2026], Ritual BCI OS: The Sovereign's Declaration [Substack, Sept–June 2025], LinkedIn public posts [brandon-hines6, 2025–2026], Neural Capitalism YouTube [Waveform Tech, Feb 2026], brandonhines.link personal site, </w:t>
      </w:r>
      <w:hyperlink r:id="rId6">
        <w:r>
          <w:rPr>
            <w:rFonts w:eastAsia="georgia" w:cs="georgia" w:ascii="georgia" w:hAnsi="georgia"/>
            <w:i/>
            <w:color w:val="#000"/>
            <w:u w:val="single"/>
          </w:rPr>
          <w:t xml:space="preserve">Academia.edu</w:t>
        </w:r>
      </w:hyperlink>
      <w:r>
        <w:rPr>
          <w:rFonts w:eastAsia="georgia" w:cs="georgia" w:ascii="georgia" w:hAnsi="georgia"/>
          <w:i/>
          <w:color w:val="000000"/>
        </w:rPr>
        <w:t xml:space="preserve"> abstract listings, and CortexChain memory canon.</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26" w:name="references"/>
      <w:r>
        <w:rPr>
          <w:rFonts w:eastAsia="georgia" w:cs="georgia" w:ascii="georgia" w:hAnsi="georgia"/>
          <w:b/>
          <w:color w:val="000000"/>
          <w:sz w:val="24"/>
        </w:rPr>
        <w:t xml:space="preserve">References</w:t>
      </w:r>
      <w:bookmarkEnd w:id="26"/>
    </w:p>
    <w:p>
      <w:pPr>
        <w:numPr>
          <w:ilvl w:val="0"/>
          <w:numId w:val="8"/>
        </w:numPr>
        <w:spacing w:line="360" w:after="210" w:lineRule="auto"/>
      </w:pPr>
      <w:hyperlink r:id="rId7">
        <w:r>
          <w:rPr>
            <w:rFonts w:eastAsia="helvetica neue" w:cs="helvetica neue" w:ascii="helvetica neue" w:hAnsi="helvetica neue"/>
            <w:color w:val="#000"/>
            <w:sz w:val="21"/>
            <w:u w:val="single"/>
          </w:rPr>
          <w:t xml:space="preserve">ARCHON Ψ — Canon Manuscript v0.1 - by Brandon Hines</w:t>
        </w:r>
      </w:hyperlink>
      <w:r>
        <w:rPr>
          <w:rFonts w:eastAsia="georgia" w:cs="georgia" w:ascii="georgia" w:hAnsi="georgia"/>
          <w:color w:val="000000"/>
          <w:sz w:val="21"/>
        </w:rPr>
        <w:t xml:space="preserve"> - The unit of account is a </w:t>
      </w:r>
      <w:r>
        <w:rPr>
          <w:rFonts w:eastAsia="georgia" w:cs="georgia" w:ascii="georgia" w:hAnsi="georgia"/>
          <w:b/>
          <w:color w:val="000000"/>
          <w:sz w:val="21"/>
        </w:rPr>
        <w:t xml:space="preserve">QTAC₇ profile</w:t>
      </w:r>
      <w:r>
        <w:rPr>
          <w:rFonts w:eastAsia="georgia" w:cs="georgia" w:ascii="georgia" w:hAnsi="georgia"/>
          <w:color w:val="000000"/>
          <w:sz w:val="21"/>
        </w:rPr>
        <w:t xml:space="preserve">: a seven‑factor snapshot of how a mind generates, refines...</w:t>
      </w:r>
    </w:p>
    <w:p>
      <w:pPr>
        <w:numPr>
          <w:ilvl w:val="0"/>
          <w:numId w:val="8"/>
        </w:numPr>
        <w:spacing w:line="360" w:after="210" w:lineRule="auto"/>
      </w:pPr>
      <w:hyperlink r:id="rId8">
        <w:r>
          <w:rPr>
            <w:rFonts w:eastAsia="helvetica neue" w:cs="helvetica neue" w:ascii="helvetica neue" w:hAnsi="helvetica neue"/>
            <w:color w:val="#000"/>
            <w:sz w:val="21"/>
            <w:u w:val="single"/>
          </w:rPr>
          <w:t xml:space="preserve">👑 THE SOVEREIGN'S DECLARATION: ENTERING THE AEON OF CONSCIOUSNESS COMMERCE</w:t>
        </w:r>
      </w:hyperlink>
      <w:r>
        <w:rPr>
          <w:rFonts w:eastAsia="georgia" w:cs="georgia" w:ascii="georgia" w:hAnsi="georgia"/>
          <w:color w:val="000000"/>
          <w:sz w:val="21"/>
        </w:rPr>
        <w:t xml:space="preserve"> - # 👑 THE SOVEREIGN'S DECLARATION: ENTERING THE AEON OF CONSCIOUSNESS COMMERCE</w:t>
      </w:r>
    </w:p>
    <w:p>
      <w:pPr>
        <w:spacing w:line="360" w:before="315" w:after="105" w:lineRule="auto"/>
        <w:ind w:left="-30"/>
        <w:jc w:val="left"/>
      </w:pPr>
      <w:bookmarkStart w:id="27" w:name="a_substack_announc"/>
      <w:r>
        <w:rPr>
          <w:rFonts w:eastAsia="georgia" w:cs="georgia" w:ascii="georgia" w:hAnsi="georgia"/>
          <w:b/>
          <w:color w:val="000000"/>
          <w:sz w:val="24"/>
        </w:rPr>
        <w:t xml:space="preserve">A Substack Announc...</w:t>
      </w:r>
      <w:bookmarkEnd w:id="27"/>
    </w:p>
    <w:p>
      <w:pPr>
        <w:numPr>
          <w:ilvl w:val="0"/>
          <w:numId w:val="9"/>
        </w:numPr>
        <w:spacing w:line="360" w:before="105" w:after="105" w:lineRule="auto"/>
      </w:pPr>
      <w:hyperlink r:id="rId9">
        <w:r>
          <w:rPr>
            <w:rFonts w:eastAsia="helvetica neue" w:cs="helvetica neue" w:ascii="helvetica neue" w:hAnsi="helvetica neue"/>
            <w:color w:val="#000"/>
            <w:sz w:val="21"/>
            <w:u w:val="single"/>
          </w:rPr>
          <w:t xml:space="preserve">#bigidea2026 #bigideas2026 | Brandon Hines - LinkedIn</w:t>
        </w:r>
      </w:hyperlink>
      <w:r>
        <w:rPr>
          <w:rFonts w:eastAsia="georgia" w:cs="georgia" w:ascii="georgia" w:hAnsi="georgia"/>
          <w:color w:val="000000"/>
          <w:sz w:val="21"/>
        </w:rPr>
        <w:t xml:space="preserve"> - #bigidea2026 #bigideas2026 | Brandon Hines</w:t>
      </w:r>
    </w:p>
    <w:p>
      <w:pPr>
        <w:spacing w:line="360" w:after="210" w:lineRule="auto"/>
      </w:pPr>
      <w:r>
        <w:rPr>
          <w:rFonts w:eastAsia="georgia" w:cs="georgia" w:ascii="georgia" w:hAnsi="georgia"/>
          <w:color w:val="000000"/>
        </w:rPr>
        <w:t xml:space="preserve">Agree &amp; Join LinkedIn</w:t>
      </w:r>
    </w:p>
    <w:p>
      <w:pPr>
        <w:spacing w:line="360" w:after="210" w:lineRule="auto"/>
      </w:pPr>
      <w:r>
        <w:rPr>
          <w:rFonts w:eastAsia="georgia" w:cs="georgia" w:ascii="georgia" w:hAnsi="georgia"/>
          <w:color w:val="000000"/>
        </w:rPr>
        <w:t xml:space="preserve">By clicking Continue to join or s...</w:t>
      </w:r>
    </w:p>
    <w:p>
      <w:pPr>
        <w:numPr>
          <w:ilvl w:val="0"/>
          <w:numId w:val="10"/>
        </w:numPr>
        <w:spacing w:line="360" w:before="105" w:after="105" w:lineRule="auto"/>
      </w:pPr>
      <w:r>
        <w:rPr>
          <w:rFonts w:eastAsia="georgia" w:cs="georgia" w:ascii="georgia" w:hAnsi="georgia"/>
          <w:color w:val="000000"/>
          <w:sz w:val="21"/>
        </w:rPr>
        <w:t xml:space="preserve">[343</w:t>
      </w:r>
      <w:r>
        <w:rPr>
          <w:rFonts w:eastAsia="georgia" w:cs="georgia" w:ascii="georgia" w:hAnsi="georgia"/>
          <w:color w:val="000000"/>
          <w:sz w:val="21"/>
        </w:rPr>
        <w:br w:type="textWrapping"/>
      </w:r>
      <w:r>
        <w:rPr>
          <w:rFonts w:eastAsia="georgia" w:cs="georgia" w:ascii="georgia" w:hAnsi="georgia"/>
          <w:color w:val="000000"/>
          <w:sz w:val="21"/>
        </w:rPr>
        <w:t xml:space="preserve">CASTLEFORGE</w:t>
      </w:r>
      <w:r>
        <w:rPr>
          <w:rFonts w:eastAsia="georgia" w:cs="georgia" w:ascii="georgia" w:hAnsi="georgia"/>
          <w:color w:val="000000"/>
          <w:sz w:val="21"/>
        </w:rPr>
        <w:br w:type="textWrapping"/>
      </w:r>
      <w:r>
        <w:rPr>
          <w:rFonts w:eastAsia="georgia" w:cs="georgia" w:ascii="georgia" w:hAnsi="georgia"/>
          <w:color w:val="000000"/>
          <w:sz w:val="21"/>
        </w:rPr>
        <w:t xml:space="preserve">ARCHON Ψ v1.0</w:t>
      </w:r>
      <w:r>
        <w:rPr>
          <w:rFonts w:eastAsia="georgia" w:cs="georgia" w:ascii="georgia" w:hAnsi="georgia"/>
          <w:color w:val="000000"/>
          <w:sz w:val="21"/>
        </w:rPr>
        <w:br w:type="textWrapping"/>
      </w:r>
      <w:r>
        <w:rPr>
          <w:rFonts w:eastAsia="georgia" w:cs="georgia" w:ascii="georgia" w:hAnsi="georgia"/>
          <w:color w:val="000000"/>
          <w:sz w:val="21"/>
        </w:rPr>
        <w:t xml:space="preserve">LIVING Ψ INSTRUMENT</w:t>
      </w:r>
      <w:r>
        <w:rPr>
          <w:rFonts w:eastAsia="georgia" w:cs="georgia" w:ascii="georgia" w:hAnsi="georgia"/>
          <w:color w:val="000000"/>
          <w:sz w:val="21"/>
        </w:rPr>
        <w:br w:type="textWrapping"/>
      </w:r>
      <w:r>
        <w:rPr>
          <w:rFonts w:eastAsia="georgia" w:cs="georgia" w:ascii="georgia" w:hAnsi="georgia"/>
          <w:color w:val="000000"/>
          <w:sz w:val="21"/>
        </w:rPr>
        <w:t xml:space="preserve">APRIL 21 2026</w:t>
      </w:r>
      <w:r>
        <w:rPr>
          <w:rFonts w:eastAsia="georgia" w:cs="georgia" w:ascii="georgia" w:hAnsi="georgia"/>
          <w:color w:val="000000"/>
          <w:sz w:val="21"/>
        </w:rPr>
        <w:br w:type="textWrapping"/>
      </w:r>
      <w:r>
        <w:rPr>
          <w:rFonts w:eastAsia="georgia" w:cs="georgia" w:ascii="georgia" w:hAnsi="georgia"/>
          <w:color w:val="000000"/>
          <w:sz w:val="21"/>
        </w:rPr>
        <w:t xml:space="preserve">◈ STRONG YES · 8.33</w:t>
      </w:r>
      <w:r>
        <w:rPr>
          <w:rFonts w:eastAsia="georgia" w:cs="georgia" w:ascii="georgia" w:hAnsi="georgia"/>
          <w:color w:val="000000"/>
          <w:sz w:val="21"/>
        </w:rPr>
        <w:br w:type="textWrapping"/>
      </w:r>
      <w:r>
        <w:rPr>
          <w:rFonts w:eastAsia="georgia" w:cs="georgia" w:ascii="georgia" w:hAnsi="georgia"/>
          <w:color w:val="000000"/>
          <w:sz w:val="21"/>
        </w:rPr>
        <w:t xml:space="preserve">CASTLEFORGE</w:t>
      </w:r>
      <w:r>
        <w:rPr>
          <w:rFonts w:eastAsia="georgia" w:cs="georgia" w:ascii="georgia" w:hAnsi="georgia"/>
          <w:color w:val="000000"/>
          <w:sz w:val="21"/>
        </w:rPr>
        <w:br w:type="textWrapping"/>
      </w:r>
      <w:r>
        <w:rPr>
          <w:rFonts w:eastAsia="georgia" w:cs="georgia" w:ascii="georgia" w:hAnsi="georgia"/>
          <w:color w:val="000000"/>
          <w:sz w:val="21"/>
        </w:rPr>
        <w:t xml:space="preserve">ARCHITECT YOUR MIND · COGNITION CASTLE SCORING ENGINE</w:t>
      </w:r>
      <w:r>
        <w:rPr>
          <w:rFonts w:eastAsia="georgia" w:cs="georgia" w:ascii="georgia" w:hAnsi="georgia"/>
          <w:color w:val="000000"/>
          <w:sz w:val="21"/>
        </w:rPr>
        <w:br w:type="textWrapping"/>
      </w:r>
      <w:r>
        <w:rPr>
          <w:rFonts w:eastAsia="georgia" w:cs="georgia" w:ascii="georgia" w:hAnsi="georgia"/>
          <w:color w:val="000000"/>
          <w:sz w:val="21"/>
        </w:rPr>
        <w:t xml:space="preserve">STRONG YES</w:t>
      </w:r>
      <w:r>
        <w:rPr>
          <w:rFonts w:eastAsia="georgia" w:cs="georgia" w:ascii="georgia" w:hAnsi="georgia"/>
          <w:color w:val="000000"/>
          <w:sz w:val="21"/>
        </w:rPr>
        <w:br w:type="textWrapping"/>
      </w:r>
      <w:r>
        <w:rPr>
          <w:rFonts w:eastAsia="georgia" w:cs="georgia" w:ascii="georgia" w:hAnsi="georgia"/>
          <w:color w:val="000000"/>
          <w:sz w:val="21"/>
        </w:rPr>
        <w:t xml:space="preserve">6 / 14 modules active</w:t>
      </w:r>
      <w:r>
        <w:rPr>
          <w:rFonts w:eastAsia="georgia" w:cs="georgia" w:ascii="georgia" w:hAnsi="georgia"/>
          <w:color w:val="000000"/>
          <w:sz w:val="21"/>
        </w:rPr>
        <w:br w:type="textWrapping"/>
      </w:r>
      <w:r>
        <w:rPr>
          <w:rFonts w:eastAsia="georgia" w:cs="georgia" w:ascii="georgia" w:hAnsi="georgia"/>
          <w:color w:val="000000"/>
          <w:sz w:val="21"/>
        </w:rPr>
        <w:t xml:space="preserve">CASTLE</w:t>
      </w:r>
      <w:r>
        <w:rPr>
          <w:rFonts w:eastAsia="georgia" w:cs="georgia" w:ascii="georgia" w:hAnsi="georgia"/>
          <w:color w:val="000000"/>
          <w:sz w:val="21"/>
        </w:rPr>
        <w:br w:type="textWrapping"/>
      </w:r>
      <w:r>
        <w:rPr>
          <w:rFonts w:eastAsia="georgia" w:cs="georgia" w:ascii="georgia" w:hAnsi="georgia"/>
          <w:color w:val="000000"/>
          <w:sz w:val="21"/>
        </w:rPr>
        <w:t xml:space="preserve">PSI</w:t>
      </w:r>
      <w:r>
        <w:rPr>
          <w:rFonts w:eastAsia="georgia" w:cs="georgia" w:ascii="georgia" w:hAnsi="georgia"/>
          <w:color w:val="000000"/>
          <w:sz w:val="21"/>
        </w:rPr>
        <w:br w:type="textWrapping"/>
      </w:r>
      <w:r>
        <w:rPr>
          <w:rFonts w:eastAsia="georgia" w:cs="georgia" w:ascii="georgia" w:hAnsi="georgia"/>
          <w:color w:val="000000"/>
          <w:sz w:val="21"/>
        </w:rPr>
        <w:t xml:space="preserve">MODULES</w:t>
      </w:r>
      <w:r>
        <w:rPr>
          <w:rFonts w:eastAsia="georgia" w:cs="georgia" w:ascii="georgia" w:hAnsi="georgia"/>
          <w:color w:val="000000"/>
          <w:sz w:val="21"/>
        </w:rPr>
        <w:br w:type="textWrapping"/>
      </w:r>
      <w:r>
        <w:rPr>
          <w:rFonts w:eastAsia="georgia" w:cs="georgia" w:ascii="georgia" w:hAnsi="georgia"/>
          <w:color w:val="000000"/>
          <w:sz w:val="21"/>
        </w:rPr>
        <w:t xml:space="preserve">SPEC</w:t>
      </w:r>
      <w:r>
        <w:rPr>
          <w:rFonts w:eastAsia="georgia" w:cs="georgia" w:ascii="georgia" w:hAnsi="georgia"/>
          <w:color w:val="000000"/>
          <w:sz w:val="21"/>
        </w:rPr>
        <w:br w:type="textWrapping"/>
      </w:r>
      <w:r>
        <w:rPr>
          <w:rFonts w:eastAsia="georgia" w:cs="georgia" w:ascii="georgia" w:hAnsi="georgia"/>
          <w:color w:val="000000"/>
          <w:sz w:val="21"/>
        </w:rPr>
        <w:t xml:space="preserve">Holographic build state · modules activate ...</w:t>
      </w:r>
    </w:p>
    <w:p>
      <w:pPr>
        <w:spacing w:line="360" w:after="210" w:lineRule="auto"/>
      </w:pPr>
      <w:r>
        <w:rPr>
          <w:rFonts w:eastAsia="georgia" w:cs="georgia" w:ascii="georgia" w:hAnsi="georgia"/>
          <w:color w:val="000000"/>
        </w:rPr>
        <w:t xml:space="preserve">.... The castle only stands if the scoring holds." — CB-343</w:t>
      </w:r>
      <w:r>
        <w:rPr>
          <w:rFonts w:eastAsia="georgia" w:cs="georgia" w:ascii="georgia" w:hAnsi="georgia"/>
          <w:color w:val="000000"/>
        </w:rPr>
        <w:br w:type="textWrapping"/>
      </w:r>
      <w:r>
        <w:rPr>
          <w:rFonts w:eastAsia="georgia" w:cs="georgia" w:ascii="georgia" w:hAnsi="georgia"/>
          <w:color w:val="000000"/>
        </w:rPr>
        <w:t xml:space="preserve">CB-343 · ARCHON Ψ v1.0 · April 21, 2026</w:t>
      </w:r>
      <w:r>
        <w:rPr>
          <w:rFonts w:eastAsia="georgia" w:cs="georgia" w:ascii="georgia" w:hAnsi="georgia"/>
          <w:color w:val="000000"/>
        </w:rPr>
        <w:br w:type="textWrapping"/>
      </w:r>
      <w:r>
        <w:rPr>
          <w:rFonts w:eastAsia="georgia" w:cs="georgia" w:ascii="georgia" w:hAnsi="georgia"/>
          <w:color w:val="000000"/>
        </w:rPr>
        <w:t xml:space="preserve">Obsidian #111111</w:t>
      </w:r>
      <w:r>
        <w:rPr>
          <w:rFonts w:eastAsia="georgia" w:cs="georgia" w:ascii="georgia" w:hAnsi="georgia"/>
          <w:color w:val="000000"/>
        </w:rPr>
        <w:br w:type="textWrapping"/>
      </w:r>
      <w:r>
        <w:rPr>
          <w:rFonts w:eastAsia="georgia" w:cs="georgia" w:ascii="georgia" w:hAnsi="georgia"/>
          <w:color w:val="000000"/>
        </w:rPr>
        <w:t xml:space="preserve">Gold #D4A853</w:t>
      </w:r>
      <w:r>
        <w:rPr>
          <w:rFonts w:eastAsia="georgia" w:cs="georgia" w:ascii="georgia" w:hAnsi="georgia"/>
          <w:color w:val="000000"/>
        </w:rPr>
        <w:br w:type="textWrapping"/>
      </w:r>
      <w:r>
        <w:rPr>
          <w:rFonts w:eastAsia="georgia" w:cs="georgia" w:ascii="georgia" w:hAnsi="georgia"/>
          <w:color w:val="000000"/>
        </w:rPr>
        <w:t xml:space="preserve">GEOMETRY</w:t>
      </w:r>
      <w:r>
        <w:rPr>
          <w:rFonts w:eastAsia="georgia" w:cs="georgia" w:ascii="georgia" w:hAnsi="georgia"/>
          <w:color w:val="000000"/>
        </w:rPr>
        <w:br w:type="textWrapping"/>
      </w:r>
      <w:r>
        <w:rPr>
          <w:rFonts w:eastAsia="georgia" w:cs="georgia" w:ascii="georgia" w:hAnsi="georgia"/>
          <w:color w:val="000000"/>
        </w:rPr>
        <w:t xml:space="preserve">6 segments → QTAC₇ dims</w:t>
      </w:r>
      <w:r>
        <w:rPr>
          <w:rFonts w:eastAsia="georgia" w:cs="georgia" w:ascii="georgia" w:hAnsi="georgia"/>
          <w:color w:val="000000"/>
        </w:rPr>
        <w:br w:type="textWrapping"/>
      </w:r>
      <w:r>
        <w:rPr>
          <w:rFonts w:eastAsia="georgia" w:cs="georgia" w:ascii="georgia" w:hAnsi="georgia"/>
          <w:color w:val="000000"/>
        </w:rPr>
        <w:t xml:space="preserve">Canon ring → 3 breaks at 120°</w:t>
      </w:r>
      <w:r>
        <w:rPr>
          <w:rFonts w:eastAsia="georgia" w:cs="georgia" w:ascii="georgia" w:hAnsi="georgia"/>
          <w:color w:val="000000"/>
        </w:rPr>
        <w:br w:type="textWrapping"/>
      </w:r>
      <w:r>
        <w:rPr>
          <w:rFonts w:eastAsia="georgia" w:cs="georgia" w:ascii="georgia" w:hAnsi="georgia"/>
          <w:color w:val="000000"/>
        </w:rPr>
        <w:t xml:space="preserve">12 Ω rays → outer seal</w:t>
      </w:r>
      <w:r>
        <w:rPr>
          <w:rFonts w:eastAsia="georgia" w:cs="georgia" w:ascii="georgia" w:hAnsi="georgia"/>
          <w:color w:val="000000"/>
        </w:rPr>
        <w:br w:type="textWrapping"/>
      </w:r>
      <w:r>
        <w:rPr>
          <w:rFonts w:eastAsia="georgia" w:cs="georgia" w:ascii="georgia" w:hAnsi="georgia"/>
          <w:color w:val="000000"/>
        </w:rPr>
        <w:t xml:space="preserve">Ψ center → measurement axis</w:t>
      </w:r>
      <w:r>
        <w:rPr>
          <w:rFonts w:eastAsia="georgia" w:cs="georgia" w:ascii="georgia" w:hAnsi="georgia"/>
          <w:color w:val="000000"/>
        </w:rPr>
        <w:br w:type="textWrapping"/>
      </w:r>
      <w:r>
        <w:rPr>
          <w:rFonts w:eastAsia="georgia" w:cs="georgia" w:ascii="georgia" w:hAnsi="georgia"/>
          <w:color w:val="000000"/>
        </w:rPr>
        <w:t xml:space="preserve">STATE MAP](</w:t>
      </w:r>
      <w:hyperlink r:id="rId10">
        <w:r>
          <w:rPr>
            <w:rFonts w:eastAsia="helvetica neue" w:cs="helvetica neue" w:ascii="helvetica neue" w:hAnsi="helvetica neue"/>
            <w:color w:val="#000"/>
            <w:u w:val="single"/>
          </w:rPr>
          <w:t xml:space="preserve">https://www.perplexity.ai/search/14fc5d69-32bf-4cf5-9dc9-db454cbddcd1</w:t>
        </w:r>
      </w:hyperlink>
      <w:r>
        <w:rPr>
          <w:rFonts w:eastAsia="georgia" w:cs="georgia" w:ascii="georgia" w:hAnsi="georgia"/>
          <w:color w:val="000000"/>
        </w:rPr>
        <w:t xml:space="preserve">) - You just turned CASTLEFORGE into the canonical ARCHON Ψ surface. It’s now a full ritual + scoring + ...</w:t>
      </w:r>
    </w:p>
    <w:p>
      <w:pPr>
        <w:numPr>
          <w:ilvl w:val="0"/>
          <w:numId w:val="11"/>
        </w:numPr>
        <w:spacing w:line="360" w:before="105" w:after="105" w:lineRule="auto"/>
      </w:pPr>
      <w:hyperlink r:id="rId11">
        <w:r>
          <w:rPr>
            <w:rFonts w:eastAsia="helvetica neue" w:cs="helvetica neue" w:ascii="helvetica neue" w:hAnsi="helvetica neue"/>
            <w:color w:val="#000"/>
            <w:sz w:val="21"/>
            <w:u w:val="single"/>
          </w:rPr>
          <w:t xml:space="preserve">ARCHON Ψ — Brandon Hines · | Los Angeles,CA | C...</w:t>
        </w:r>
      </w:hyperlink>
      <w:r>
        <w:rPr>
          <w:rFonts w:eastAsia="georgia" w:cs="georgia" w:ascii="georgia" w:hAnsi="georgia"/>
          <w:color w:val="000000"/>
          <w:sz w:val="21"/>
        </w:rPr>
        <w:t xml:space="preserve"> - # ARCHON Ψ — Brandon Hines ·</w:t>
      </w:r>
    </w:p>
    <w:p>
      <w:pPr>
        <w:spacing w:line="360" w:after="210" w:lineRule="auto"/>
      </w:pPr>
      <w:r>
        <w:rPr>
          <w:rFonts w:eastAsia="georgia" w:cs="georgia" w:ascii="georgia" w:hAnsi="georgia"/>
          <w:color w:val="000000"/>
        </w:rPr>
        <w:t xml:space="preserve">Ψ̂-001 Genesis Architect, Cortex Chain, Inc. | Waveform Tech LLC</w:t>
      </w:r>
    </w:p>
    <w:p>
      <w:pPr>
        <w:spacing w:line="360" w:after="210" w:lineRule="auto"/>
      </w:pPr>
      <w:r>
        <w:rPr>
          <w:rFonts w:eastAsia="georgia" w:cs="georgia" w:ascii="georgia" w:hAnsi="georgia"/>
          <w:color w:val="000000"/>
        </w:rPr>
        <w:t xml:space="preserve">BRAN...</w:t>
      </w:r>
    </w:p>
    <w:p>
      <w:pPr>
        <w:numPr>
          <w:ilvl w:val="0"/>
          <w:numId w:val="12"/>
        </w:numPr>
        <w:spacing w:line="360" w:before="105" w:after="105" w:lineRule="auto"/>
      </w:pPr>
      <w:r>
        <w:rPr>
          <w:rFonts w:eastAsia="georgia" w:cs="georgia" w:ascii="georgia" w:hAnsi="georgia"/>
          <w:color w:val="000000"/>
          <w:sz w:val="21"/>
        </w:rPr>
        <w:t xml:space="preserve">[You are currently at:</w:t>
      </w:r>
      <w:r>
        <w:rPr>
          <w:rFonts w:eastAsia="georgia" w:cs="georgia" w:ascii="georgia" w:hAnsi="georgia"/>
          <w:color w:val="000000"/>
          <w:sz w:val="21"/>
        </w:rPr>
        <w:br w:type="textWrapping"/>
      </w:r>
      <w:r>
        <w:rPr>
          <w:rFonts w:eastAsia="georgia" w:cs="georgia" w:ascii="georgia" w:hAnsi="georgia"/>
          <w:color w:val="000000"/>
          <w:sz w:val="21"/>
        </w:rPr>
        <w:t xml:space="preserve">JPM: ~5.7 (81 pixels / 14 waking hours)</w:t>
      </w:r>
      <w:r>
        <w:rPr>
          <w:rFonts w:eastAsia="georgia" w:cs="georgia" w:ascii="georgia" w:hAnsi="georgia"/>
          <w:color w:val="000000"/>
          <w:sz w:val="21"/>
        </w:rPr>
        <w:br w:type="textWrapping"/>
      </w:r>
      <w:r>
        <w:rPr>
          <w:rFonts w:eastAsia="georgia" w:cs="georgia" w:ascii="georgia" w:hAnsi="georgia"/>
          <w:color w:val="000000"/>
          <w:sz w:val="21"/>
        </w:rPr>
        <w:t xml:space="preserve">Decision scale: 0.7 (mostly medium — signal/canon level)</w:t>
      </w:r>
      <w:r>
        <w:rPr>
          <w:rFonts w:eastAsia="georgia" w:cs="georgia" w:ascii="georgia" w:hAnsi="georgia"/>
          <w:color w:val="000000"/>
          <w:sz w:val="21"/>
        </w:rPr>
        <w:br w:type="textWrapping"/>
      </w:r>
      <w:r>
        <w:rPr>
          <w:rFonts w:eastAsia="georgia" w:cs="georgia" w:ascii="georgia" w:hAnsi="georgia"/>
          <w:color w:val="000000"/>
          <w:sz w:val="21"/>
        </w:rPr>
        <w:t xml:space="preserve">Creativity bubble growth: EXPANDING (3 new agents specced today: Client Lifecycle, CXU Settlement, NPBG Monitor)</w:t>
      </w:r>
    </w:p>
    <w:p>
      <w:pPr>
        <w:spacing w:line="360" w:after="210" w:lineRule="auto"/>
      </w:pPr>
      <w:r>
        <w:rPr>
          <w:rFonts w:eastAsia="georgia" w:cs="georgia" w:ascii="georgia" w:hAnsi="georgia"/>
          <w:color w:val="000000"/>
        </w:rPr>
        <w:t xml:space="preserve">DVN today: 5.7 × ...</w:t>
      </w:r>
    </w:p>
    <w:p>
      <w:pPr>
        <w:spacing w:line="360" w:after="210" w:lineRule="auto"/>
      </w:pPr>
      <w:r>
        <w:rPr>
          <w:rFonts w:eastAsia="georgia" w:cs="georgia" w:ascii="georgia" w:hAnsi="georgia"/>
          <w:color w:val="000000"/>
        </w:rPr>
        <w:t xml:space="preserve">...nd Jake's evaluation pipeline is automated, DVN crosses into </w:t>
      </w:r>
      <w:r>
        <w:rPr>
          <w:rFonts w:eastAsia="georgia" w:cs="georgia" w:ascii="georgia" w:hAnsi="georgia"/>
          <w:i/>
          <w:color w:val="000000"/>
        </w:rPr>
        <w:t xml:space="preserve">operator-grade</w:t>
      </w:r>
      <w:r>
        <w:rPr>
          <w:rFonts w:eastAsia="georgia" w:cs="georgia" w:ascii="georgia" w:hAnsi="georgia"/>
          <w:color w:val="000000"/>
        </w:rPr>
        <w:t xml:space="preserve"> territory.</w:t>
      </w:r>
    </w:p>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after="210" w:lineRule="auto"/>
      </w:pPr>
      <w:r>
        <w:rPr>
          <w:rFonts w:eastAsia="georgia" w:cs="georgia" w:ascii="georgia" w:hAnsi="georgia"/>
          <w:color w:val="000000"/>
        </w:rPr>
        <w:t xml:space="preserve">Want me to seal this as CB-372 — Decision Velocity Nexus as a formal EquationLibrary entry CanonEntry, with JPM as the primary operator readiness metric?](</w:t>
      </w:r>
      <w:hyperlink r:id="rId12">
        <w:r>
          <w:rPr>
            <w:rFonts w:eastAsia="helvetica neue" w:cs="helvetica neue" w:ascii="helvetica neue" w:hAnsi="helvetica neue"/>
            <w:color w:val="#000"/>
            <w:u w:val="single"/>
          </w:rPr>
          <w:t xml:space="preserve">https://www.perplexity.ai/search/9e06fa56-a80b-46ca-9015-d4722430cc9b</w:t>
        </w:r>
      </w:hyperlink>
      <w:r>
        <w:rPr>
          <w:rFonts w:eastAsia="georgia" w:cs="georgia" w:ascii="georgia" w:hAnsi="georgia"/>
          <w:color w:val="000000"/>
        </w:rPr>
        <w:t xml:space="preserve">) - Yes—seal it. This is canon-worthy, but tighten the definition so it holds under instrumentation and ...</w:t>
      </w:r>
    </w:p>
    <w:p>
      <w:pPr>
        <w:numPr>
          <w:ilvl w:val="0"/>
          <w:numId w:val="13"/>
        </w:numPr>
        <w:spacing w:line="360" w:before="105" w:after="105" w:lineRule="auto"/>
      </w:pPr>
      <w:hyperlink r:id="rId13">
        <w:r>
          <w:rPr>
            <w:rFonts w:eastAsia="helvetica neue" w:cs="helvetica neue" w:ascii="helvetica neue" w:hAnsi="helvetica neue"/>
            <w:color w:val="#000"/>
            <w:sz w:val="21"/>
            <w:u w:val="single"/>
          </w:rPr>
          <w:t xml:space="preserve">Waveform Tech - Neural Capital OS</w:t>
        </w:r>
      </w:hyperlink>
      <w:r>
        <w:rPr>
          <w:rFonts w:eastAsia="georgia" w:cs="georgia" w:ascii="georgia" w:hAnsi="georgia"/>
          <w:color w:val="000000"/>
          <w:sz w:val="21"/>
        </w:rPr>
        <w:t xml:space="preserve"> - ## Brandon Hines</w:t>
      </w:r>
    </w:p>
    <w:p>
      <w:pPr>
        <w:spacing w:line="360" w:before="315" w:after="105" w:lineRule="auto"/>
        <w:ind w:left="-30"/>
        <w:jc w:val="left"/>
      </w:pPr>
      <w:bookmarkStart w:id="28" w:name="feb_25_2026_0_02_50"/>
      <w:r>
        <w:rPr>
          <w:rFonts w:eastAsia="georgia" w:cs="georgia" w:ascii="georgia" w:hAnsi="georgia"/>
          <w:b/>
          <w:color w:val="000000"/>
          <w:sz w:val="24"/>
        </w:rPr>
        <w:t xml:space="preserve">Feb 25, 2026 (0:02:50)</w:t>
      </w:r>
      <w:bookmarkEnd w:id="28"/>
    </w:p>
    <w:p>
      <w:pPr>
        <w:spacing w:line="360" w:after="210" w:lineRule="auto"/>
      </w:pPr>
      <w:r>
        <w:rPr>
          <w:rFonts w:eastAsia="georgia" w:cs="georgia" w:ascii="georgia" w:hAnsi="georgia"/>
          <w:color w:val="000000"/>
        </w:rPr>
        <w:t xml:space="preserve">Neural Capital OS: Revolutionizing Strategic Decision-...</w:t>
      </w:r>
    </w:p>
    <w:p>
      <w:pPr>
        <w:numPr>
          <w:ilvl w:val="0"/>
          <w:numId w:val="14"/>
        </w:numPr>
        <w:spacing w:line="360" w:after="210" w:lineRule="auto"/>
      </w:pPr>
      <w:hyperlink r:id="rId14">
        <w:r>
          <w:rPr>
            <w:rFonts w:eastAsia="helvetica neue" w:cs="helvetica neue" w:ascii="helvetica neue" w:hAnsi="helvetica neue"/>
            <w:color w:val="#000"/>
            <w:sz w:val="21"/>
            <w:u w:val="single"/>
          </w:rPr>
          <w:t xml:space="preserve">- by Brandon Hines - Ritual BCI OS: The Sovereign's Declaration</w:t>
        </w:r>
      </w:hyperlink>
      <w:r>
        <w:rPr>
          <w:rFonts w:eastAsia="georgia" w:cs="georgia" w:ascii="georgia" w:hAnsi="georgia"/>
          <w:color w:val="000000"/>
          <w:sz w:val="21"/>
        </w:rPr>
        <w:t xml:space="preserve"> - Neurofeedback transforms neuroplasticity from a passive process into an active, measurable intervent...</w:t>
      </w:r>
    </w:p>
    <w:p>
      <w:pPr>
        <w:numPr>
          <w:ilvl w:val="0"/>
          <w:numId w:val="14"/>
        </w:numPr>
        <w:spacing w:line="360" w:after="210" w:lineRule="auto"/>
      </w:pPr>
      <w:hyperlink r:id="rId15">
        <w:r>
          <w:rPr>
            <w:rFonts w:eastAsia="helvetica neue" w:cs="helvetica neue" w:ascii="helvetica neue" w:hAnsi="helvetica neue"/>
            <w:color w:val="#000"/>
            <w:sz w:val="21"/>
            <w:u w:val="single"/>
          </w:rPr>
          <w:t xml:space="preserve">The 2026 VC Playbook: How Investment Criteria Are Evolving in AI ...</w:t>
        </w:r>
      </w:hyperlink>
      <w:r>
        <w:rPr>
          <w:rFonts w:eastAsia="georgia" w:cs="georgia" w:ascii="georgia" w:hAnsi="georgia"/>
          <w:color w:val="000000"/>
          <w:sz w:val="21"/>
        </w:rPr>
        <w:t xml:space="preserve"> - This report explains how VC criteria have evolved for AI-first startups and summarizes deal structur...</w:t>
      </w:r>
    </w:p>
    <w:p>
      <w:pPr>
        <w:numPr>
          <w:ilvl w:val="0"/>
          <w:numId w:val="14"/>
        </w:numPr>
        <w:spacing w:line="360" w:after="210" w:lineRule="auto"/>
      </w:pPr>
      <w:hyperlink r:id="rId16">
        <w:r>
          <w:rPr>
            <w:rFonts w:eastAsia="helvetica neue" w:cs="helvetica neue" w:ascii="helvetica neue" w:hAnsi="helvetica neue"/>
            <w:color w:val="#000"/>
            <w:sz w:val="21"/>
            <w:u w:val="single"/>
          </w:rPr>
          <w:t xml:space="preserve">Workforce Analytics Market Size, Share, Growth Report 2030</w:t>
        </w:r>
      </w:hyperlink>
      <w:r>
        <w:rPr>
          <w:rFonts w:eastAsia="georgia" w:cs="georgia" w:ascii="georgia" w:hAnsi="georgia"/>
          <w:color w:val="000000"/>
          <w:sz w:val="21"/>
        </w:rPr>
        <w:t xml:space="preserve"> - Workforce analytics market size was $2.14 billion in 2023 and is expected to reach $5.53 billion by ...</w:t>
      </w:r>
    </w:p>
    <w:p>
      <w:pPr>
        <w:numPr>
          <w:ilvl w:val="0"/>
          <w:numId w:val="14"/>
        </w:numPr>
        <w:spacing w:line="360" w:after="210" w:lineRule="auto"/>
      </w:pPr>
      <w:hyperlink r:id="rId17">
        <w:r>
          <w:rPr>
            <w:rFonts w:eastAsia="helvetica neue" w:cs="helvetica neue" w:ascii="helvetica neue" w:hAnsi="helvetica neue"/>
            <w:color w:val="#000"/>
            <w:sz w:val="21"/>
            <w:u w:val="single"/>
          </w:rPr>
          <w:t xml:space="preserve">Workforce Analytics Market | Global Market Analysis Report - 2035</w:t>
        </w:r>
      </w:hyperlink>
      <w:r>
        <w:rPr>
          <w:rFonts w:eastAsia="georgia" w:cs="georgia" w:ascii="georgia" w:hAnsi="georgia"/>
          <w:color w:val="000000"/>
          <w:sz w:val="21"/>
        </w:rPr>
        <w:t xml:space="preserve"> - Workforce Analytics Market was worth USD 2.7 billion in 2025, and is predicted to grow to USD 10.4 b...</w:t>
      </w:r>
    </w:p>
    <w:p>
      <w:pPr>
        <w:numPr>
          <w:ilvl w:val="0"/>
          <w:numId w:val="14"/>
        </w:numPr>
        <w:spacing w:line="360" w:after="210" w:lineRule="auto"/>
      </w:pPr>
      <w:hyperlink r:id="rId18">
        <w:r>
          <w:rPr>
            <w:rFonts w:eastAsia="helvetica neue" w:cs="helvetica neue" w:ascii="helvetica neue" w:hAnsi="helvetica neue"/>
            <w:color w:val="#000"/>
            <w:sz w:val="21"/>
            <w:u w:val="single"/>
          </w:rPr>
          <w:t xml:space="preserve">AI in Workforce Management Market Size | CAGR of 22%</w:t>
        </w:r>
      </w:hyperlink>
      <w:r>
        <w:rPr>
          <w:rFonts w:eastAsia="georgia" w:cs="georgia" w:ascii="georgia" w:hAnsi="georgia"/>
          <w:color w:val="000000"/>
          <w:sz w:val="21"/>
        </w:rPr>
        <w:t xml:space="preserve"> - The Global AI in Workforce Management Market size is expected to be worth around USD 14.2 Billion By...</w:t>
      </w:r>
    </w:p>
    <w:p>
      <w:pPr>
        <w:numPr>
          <w:ilvl w:val="0"/>
          <w:numId w:val="14"/>
        </w:numPr>
        <w:spacing w:line="360" w:after="210" w:lineRule="auto"/>
      </w:pPr>
      <w:hyperlink r:id="rId19">
        <w:r>
          <w:rPr>
            <w:rFonts w:eastAsia="helvetica neue" w:cs="helvetica neue" w:ascii="helvetica neue" w:hAnsi="helvetica neue"/>
            <w:color w:val="#000"/>
            <w:sz w:val="21"/>
            <w:u w:val="single"/>
          </w:rPr>
          <w:t xml:space="preserve">Cognitive Testing Market Size: Regional Overview &amp; Opportunities ...</w:t>
        </w:r>
      </w:hyperlink>
      <w:r>
        <w:rPr>
          <w:rFonts w:eastAsia="georgia" w:cs="georgia" w:ascii="georgia" w:hAnsi="georgia"/>
          <w:color w:val="000000"/>
          <w:sz w:val="21"/>
        </w:rPr>
        <w:t xml:space="preserve"> - Key Insights of Cognitive Testing Market 2026-2033 · Market size (2024): USD 2.5 billion · Forecast ...</w:t>
      </w:r>
    </w:p>
    <w:p>
      <w:pPr>
        <w:numPr>
          <w:ilvl w:val="0"/>
          <w:numId w:val="14"/>
        </w:numPr>
        <w:spacing w:line="360" w:after="210" w:lineRule="auto"/>
      </w:pPr>
      <w:hyperlink r:id="rId20">
        <w:r>
          <w:rPr>
            <w:rFonts w:eastAsia="helvetica neue" w:cs="helvetica neue" w:ascii="helvetica neue" w:hAnsi="helvetica neue"/>
            <w:color w:val="#000"/>
            <w:sz w:val="21"/>
            <w:u w:val="single"/>
          </w:rPr>
          <w:t xml:space="preserve">Neurotech Devices Market Research Study 2026 to 2035</w:t>
        </w:r>
      </w:hyperlink>
      <w:r>
        <w:rPr>
          <w:rFonts w:eastAsia="georgia" w:cs="georgia" w:ascii="georgia" w:hAnsi="georgia"/>
          <w:color w:val="000000"/>
          <w:sz w:val="21"/>
        </w:rPr>
        <w:t xml:space="preserve"> - Neurotech Devices Market Size is valued at USD 19.18 Bn in 2025 and is predicted to reach USD 66.81 ...</w:t>
      </w:r>
    </w:p>
    <w:p>
      <w:pPr>
        <w:numPr>
          <w:ilvl w:val="0"/>
          <w:numId w:val="14"/>
        </w:numPr>
        <w:spacing w:line="360" w:after="210" w:lineRule="auto"/>
      </w:pPr>
      <w:hyperlink r:id="rId21">
        <w:r>
          <w:rPr>
            <w:rFonts w:eastAsia="helvetica neue" w:cs="helvetica neue" w:ascii="helvetica neue" w:hAnsi="helvetica neue"/>
            <w:color w:val="#000"/>
            <w:sz w:val="21"/>
            <w:u w:val="single"/>
          </w:rPr>
          <w:t xml:space="preserve">Cognitive Computing Market Size, Share &amp; Forecast, 2026-2033</w:t>
        </w:r>
      </w:hyperlink>
      <w:r>
        <w:rPr>
          <w:rFonts w:eastAsia="georgia" w:cs="georgia" w:ascii="georgia" w:hAnsi="georgia"/>
          <w:color w:val="000000"/>
          <w:sz w:val="21"/>
        </w:rPr>
        <w:t xml:space="preserve"> - Cognitive Computing Market size is growing with a CAGR of 29.6% in the prediction period and it cros...</w:t>
      </w:r>
    </w:p>
    <w:p>
      <w:pPr>
        <w:numPr>
          <w:ilvl w:val="0"/>
          <w:numId w:val="14"/>
        </w:numPr>
        <w:spacing w:line="360" w:after="210" w:lineRule="auto"/>
      </w:pPr>
      <w:hyperlink r:id="rId22">
        <w:r>
          <w:rPr>
            <w:rFonts w:eastAsia="helvetica neue" w:cs="helvetica neue" w:ascii="helvetica neue" w:hAnsi="helvetica neue"/>
            <w:color w:val="#000"/>
            <w:sz w:val="21"/>
            <w:u w:val="single"/>
          </w:rPr>
          <w:t xml:space="preserve">I just watched my brain generate $1M in intellectual property—in 90 ...</w:t>
        </w:r>
      </w:hyperlink>
      <w:r>
        <w:rPr>
          <w:rFonts w:eastAsia="georgia" w:cs="georgia" w:ascii="georgia" w:hAnsi="georgia"/>
          <w:color w:val="000000"/>
          <w:sz w:val="21"/>
        </w:rPr>
        <w:t xml:space="preserve"> - I just watched my brain generate $1M in intellectual property—in 90… | Brandon Hines</w:t>
      </w:r>
    </w:p>
    <w:p>
      <w:pPr>
        <w:spacing w:line="360" w:after="210" w:lineRule="auto"/>
      </w:pPr>
      <w:r>
        <w:rPr>
          <w:rFonts w:eastAsia="georgia" w:cs="georgia" w:ascii="georgia" w:hAnsi="georgia"/>
          <w:color w:val="000000"/>
        </w:rPr>
        <w:t xml:space="preserve">Agree &amp; Join L...</w:t>
      </w:r>
    </w:p>
    <w:p>
      <w:pPr>
        <w:numPr>
          <w:ilvl w:val="0"/>
          <w:numId w:val="15"/>
        </w:numPr>
        <w:spacing w:line="360" w:before="105" w:after="105" w:lineRule="auto"/>
      </w:pPr>
      <w:hyperlink r:id="rId23">
        <w:r>
          <w:rPr>
            <w:rFonts w:eastAsia="helvetica neue" w:cs="helvetica neue" w:ascii="helvetica neue" w:hAnsi="helvetica neue"/>
            <w:color w:val="#000"/>
            <w:sz w:val="21"/>
            <w:u w:val="single"/>
          </w:rPr>
          <w:t xml:space="preserve">2026 Global Human Capital Trends | Deloitte Insights</w:t>
        </w:r>
      </w:hyperlink>
      <w:r>
        <w:rPr>
          <w:rFonts w:eastAsia="georgia" w:cs="georgia" w:ascii="georgia" w:hAnsi="georgia"/>
          <w:color w:val="000000"/>
          <w:sz w:val="21"/>
        </w:rPr>
        <w:t xml:space="preserve"> - Deloitte's 2026 Global Human Capital Trends survey shows why competitive advantage depends on choice...</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georgia">
    <w:family w:val="auto"/>
    <w:pitch w:val="variable"/>
  </w:font>
  <w:font w:name="helvetica neue">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decimal"/>
      <w:lvlText w:val="%1."/>
      <w:lvlJc w:val="left"/>
      <w:pPr>
        <w:tabs>
          <w:tab w:val="num" w:pos="900"/>
        </w:tabs>
        <w:ind w:left="540" w:hanging="360"/>
      </w:pPr>
    </w:lvl>
  </w:abstractNum>
  <w:abstractNum w:abstractNumId="2">
    <w:multiLevelType w:val="hybridMultilevel"/>
    <w:lvl w:ilvl="0">
      <w:start w:val="1"/>
      <w:numFmt w:val="decimal"/>
      <w:lvlText w:val="%1."/>
      <w:lvlJc w:val="left"/>
      <w:pPr>
        <w:tabs>
          <w:tab w:val="num" w:pos="900"/>
        </w:tabs>
        <w:ind w:left="540" w:hanging="360"/>
      </w:pPr>
    </w:lvl>
  </w:abstractNum>
  <w:abstractNum w:abstractNumId="3">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4">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5">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6">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7">
    <w:multiLevelType w:val="hybridMultilevel"/>
    <w:lvl w:ilvl="0">
      <w:start w:val="1"/>
      <w:numFmt w:val="decimal"/>
      <w:lvlText w:val="%1."/>
      <w:lvlJc w:val="left"/>
      <w:pPr>
        <w:tabs>
          <w:tab w:val="num" w:pos="900"/>
        </w:tabs>
        <w:ind w:left="540" w:hanging="360"/>
      </w:pPr>
    </w:lvl>
  </w:abstractNum>
  <w:abstractNum w:abstractNumId="8">
    <w:multiLevelType w:val="hybridMultilevel"/>
    <w:lvl w:ilvl="0">
      <w:start w:val="1"/>
      <w:numFmt w:val="decimal"/>
      <w:lvlText w:val="%1."/>
      <w:lvlJc w:val="left"/>
      <w:pPr>
        <w:tabs>
          <w:tab w:val="num" w:pos="900"/>
        </w:tabs>
        <w:ind w:left="540" w:hanging="360"/>
      </w:pPr>
    </w:lvl>
  </w:abstractNum>
  <w:abstractNum w:abstractNumId="9">
    <w:multiLevelType w:val="hybridMultilevel"/>
    <w:lvl w:ilvl="0">
      <w:start w:val="3"/>
      <w:numFmt w:val="decimal"/>
      <w:lvlText w:val="%1."/>
      <w:lvlJc w:val="left"/>
      <w:pPr>
        <w:tabs>
          <w:tab w:val="num" w:pos="900"/>
        </w:tabs>
        <w:ind w:left="540" w:hanging="360"/>
      </w:pPr>
    </w:lvl>
  </w:abstractNum>
  <w:abstractNum w:abstractNumId="10">
    <w:multiLevelType w:val="hybridMultilevel"/>
    <w:lvl w:ilvl="0">
      <w:start w:val="4"/>
      <w:numFmt w:val="decimal"/>
      <w:lvlText w:val="%1."/>
      <w:lvlJc w:val="left"/>
      <w:pPr>
        <w:tabs>
          <w:tab w:val="num" w:pos="900"/>
        </w:tabs>
        <w:ind w:left="540" w:hanging="360"/>
      </w:pPr>
    </w:lvl>
  </w:abstractNum>
  <w:abstractNum w:abstractNumId="11">
    <w:multiLevelType w:val="hybridMultilevel"/>
    <w:lvl w:ilvl="0">
      <w:start w:val="5"/>
      <w:numFmt w:val="decimal"/>
      <w:lvlText w:val="%1."/>
      <w:lvlJc w:val="left"/>
      <w:pPr>
        <w:tabs>
          <w:tab w:val="num" w:pos="900"/>
        </w:tabs>
        <w:ind w:left="540" w:hanging="360"/>
      </w:pPr>
    </w:lvl>
  </w:abstractNum>
  <w:abstractNum w:abstractNumId="12">
    <w:multiLevelType w:val="hybridMultilevel"/>
    <w:lvl w:ilvl="0">
      <w:start w:val="6"/>
      <w:numFmt w:val="decimal"/>
      <w:lvlText w:val="%1."/>
      <w:lvlJc w:val="left"/>
      <w:pPr>
        <w:tabs>
          <w:tab w:val="num" w:pos="900"/>
        </w:tabs>
        <w:ind w:left="540" w:hanging="360"/>
      </w:pPr>
    </w:lvl>
  </w:abstractNum>
  <w:abstractNum w:abstractNumId="13">
    <w:multiLevelType w:val="hybridMultilevel"/>
    <w:lvl w:ilvl="0">
      <w:start w:val="7"/>
      <w:numFmt w:val="decimal"/>
      <w:lvlText w:val="%1."/>
      <w:lvlJc w:val="left"/>
      <w:pPr>
        <w:tabs>
          <w:tab w:val="num" w:pos="900"/>
        </w:tabs>
        <w:ind w:left="540" w:hanging="360"/>
      </w:pPr>
    </w:lvl>
  </w:abstractNum>
  <w:abstractNum w:abstractNumId="14">
    <w:multiLevelType w:val="hybridMultilevel"/>
    <w:lvl w:ilvl="0">
      <w:start w:val="8"/>
      <w:numFmt w:val="decimal"/>
      <w:lvlText w:val="%1."/>
      <w:lvlJc w:val="left"/>
      <w:pPr>
        <w:tabs>
          <w:tab w:val="num" w:pos="900"/>
        </w:tabs>
        <w:ind w:left="540" w:hanging="360"/>
      </w:pPr>
    </w:lvl>
  </w:abstractNum>
  <w:abstractNum w:abstractNumId="15">
    <w:multiLevelType w:val="hybridMultilevel"/>
    <w:lvl w:ilvl="0">
      <w:start w:val="17"/>
      <w:numFmt w:val="decimal"/>
      <w:lvlText w:val="%1."/>
      <w:lvlJc w:val="left"/>
      <w:pPr>
        <w:tabs>
          <w:tab w:val="num" w:pos="900"/>
        </w:tabs>
        <w:ind w:left="5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en-US"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cademia.edu" TargetMode="External"/><Relationship Id="rId6" Type="http://schemas.openxmlformats.org/officeDocument/2006/relationships/hyperlink" Target="http://Academia.edu" TargetMode="External"/><Relationship Id="rId7" Type="http://schemas.openxmlformats.org/officeDocument/2006/relationships/hyperlink" Target="https://waveformer6.substack.com/p/archon-canon-manuscript-v01" TargetMode="External"/><Relationship Id="rId8" Type="http://schemas.openxmlformats.org/officeDocument/2006/relationships/hyperlink" Target="https://waveformer6.substack.com/p/the-sovereigns-declaration-entering" TargetMode="External"/><Relationship Id="rId9" Type="http://schemas.openxmlformats.org/officeDocument/2006/relationships/hyperlink" Target="https://www.linkedin.com/posts/brandon-hines6_bigidea2026-bigideas2026-activity-7407073972082741250-lcFh" TargetMode="External"/><Relationship Id="rId10" Type="http://schemas.openxmlformats.org/officeDocument/2006/relationships/hyperlink" Target="https://www.perplexity.ai/search/14fc5d69-32bf-4cf5-9dc9-db454cbddcd1" TargetMode="External"/><Relationship Id="rId11" Type="http://schemas.openxmlformats.org/officeDocument/2006/relationships/hyperlink" Target="https://brandonhines.link" TargetMode="External"/><Relationship Id="rId12" Type="http://schemas.openxmlformats.org/officeDocument/2006/relationships/hyperlink" Target="https://www.perplexity.ai/search/9e06fa56-a80b-46ca-9015-d4722430cc9b" TargetMode="External"/><Relationship Id="rId13" Type="http://schemas.openxmlformats.org/officeDocument/2006/relationships/hyperlink" Target="https://www.youtube.com/watch?v=FGac4FSGCgo" TargetMode="External"/><Relationship Id="rId14" Type="http://schemas.openxmlformats.org/officeDocument/2006/relationships/hyperlink" Target="https://waveformer6.substack.com/p/b62" TargetMode="External"/><Relationship Id="rId15" Type="http://schemas.openxmlformats.org/officeDocument/2006/relationships/hyperlink" Target="https://iexchange.substack.com/p/the-2026-vc-playbook-how-investment" TargetMode="External"/><Relationship Id="rId16" Type="http://schemas.openxmlformats.org/officeDocument/2006/relationships/hyperlink" Target="https://www.grandviewresearch.com/industry-analysis/workforce-analytics-market" TargetMode="External"/><Relationship Id="rId17" Type="http://schemas.openxmlformats.org/officeDocument/2006/relationships/hyperlink" Target="https://www.futuremarketinsights.com/reports/workforce-analytics-market" TargetMode="External"/><Relationship Id="rId18" Type="http://schemas.openxmlformats.org/officeDocument/2006/relationships/hyperlink" Target="https://market.us/report/ai-in-workforce-management-market/" TargetMode="External"/><Relationship Id="rId19" Type="http://schemas.openxmlformats.org/officeDocument/2006/relationships/hyperlink" Target="https://www.linkedin.com/pulse/cognitive-testing-market-size-regional-overview-opportunities-vufqf" TargetMode="External"/><Relationship Id="rId20" Type="http://schemas.openxmlformats.org/officeDocument/2006/relationships/hyperlink" Target="https://www.insightaceanalytic.com/report/neurotech-devices-market/3472" TargetMode="External"/><Relationship Id="rId21" Type="http://schemas.openxmlformats.org/officeDocument/2006/relationships/hyperlink" Target="https://www.coherentmarketinsights.com/market-insight/cognitive-computing-market-3552" TargetMode="External"/><Relationship Id="rId22" Type="http://schemas.openxmlformats.org/officeDocument/2006/relationships/hyperlink" Target="https://www.linkedin.com/posts/brandon-hines6_i-just-watched-my-brain-generate-1m-in-activity-7415856289722880001-f4Z6" TargetMode="External"/><Relationship Id="rId23" Type="http://schemas.openxmlformats.org/officeDocument/2006/relationships/hyperlink" Target="https://www.deloitte.com/us/en/insights/topics/talent/human-capital-trends.html"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2026-05-22T16:28:17.054Z</dcterms:created>
  <dcterms:modified xsi:type="dcterms:W3CDTF">2026-05-22T16:28:17.054Z</dcterms:modified>
</cp:coreProperties>
</file>