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0" w:before="157.5" w:after="157.5" w:lineRule="auto"/>
        <w:jc w:val="left"/>
      </w:pPr>
      <w:bookmarkStart w:id="0" w:name="archon_ψ_master_briefing"/>
      <w:r>
        <w:rPr>
          <w:rFonts w:eastAsia="georgia" w:cs="georgia" w:ascii="georgia" w:hAnsi="georgia"/>
          <w:b/>
          <w:color w:val="000000"/>
          <w:sz w:val="39"/>
        </w:rPr>
        <w:t xml:space="preserve">ARCHON Ψ — Master Briefing</w:t>
      </w:r>
      <w:bookmarkEnd w:id="0"/>
    </w:p>
    <w:p>
      <w:pPr>
        <w:spacing w:line="360" w:before="315" w:after="105" w:lineRule="auto"/>
        <w:ind w:left="-30"/>
        <w:jc w:val="left"/>
      </w:pPr>
      <w:bookmarkStart w:id="1" w:name="intellectual_cheat_sheet_investor_12b331"/>
      <w:r>
        <w:rPr>
          <w:rFonts w:eastAsia="georgia" w:cs="georgia" w:ascii="georgia" w:hAnsi="georgia"/>
          <w:b/>
          <w:color w:val="000000"/>
          <w:sz w:val="24"/>
        </w:rPr>
        <w:t xml:space="preserve">Intellectual Cheat Sheet · Investor Intro Script · User POV Walkthrough · Due Diligence Dossier</w:t>
      </w:r>
      <w:bookmarkEnd w:id="1"/>
    </w:p>
    <w:p>
      <w:pPr>
        <w:spacing w:line="360" w:after="210" w:lineRule="auto"/>
      </w:pPr>
      <w:r>
        <w:rPr>
          <w:rFonts w:eastAsia="georgia" w:cs="georgia" w:ascii="georgia" w:hAnsi="georgia"/>
          <w:i/>
          <w:color w:val="000000"/>
        </w:rPr>
        <w:t xml:space="preserve">Brandon Hines · CortexChain, Inc. · Waveform Tech LLC · NVIDIA Inception Member</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 w:name="part_i_the_intellectual_cheat_sheet"/>
      <w:r>
        <w:rPr>
          <w:rFonts w:eastAsia="georgia" w:cs="georgia" w:ascii="georgia" w:hAnsi="georgia"/>
          <w:b/>
          <w:color w:val="000000"/>
          <w:sz w:val="24"/>
        </w:rPr>
        <w:t xml:space="preserve">Part I — The Intellectual Cheat Sheet</w:t>
      </w:r>
      <w:bookmarkEnd w:id="2"/>
    </w:p>
    <w:p>
      <w:pPr>
        <w:spacing w:line="360" w:before="315" w:after="105" w:lineRule="auto"/>
        <w:ind w:left="-30"/>
        <w:jc w:val="left"/>
      </w:pPr>
      <w:bookmarkStart w:id="3" w:name="jewel_core_ideas_extracted_from_p_52c477"/>
      <w:r>
        <w:rPr>
          <w:rFonts w:eastAsia="georgia" w:cs="georgia" w:ascii="georgia" w:hAnsi="georgia"/>
          <w:b/>
          <w:color w:val="000000"/>
          <w:sz w:val="24"/>
        </w:rPr>
        <w:t xml:space="preserve">Jewel-Core Ideas Extracted from Published Manuscripts, Whitepapers &amp; Essays</w:t>
      </w:r>
      <w:bookmarkEnd w:id="3"/>
    </w:p>
    <w:p>
      <w:pPr>
        <w:spacing w:line="360" w:after="210" w:lineRule="auto"/>
      </w:pPr>
      <w:r>
        <w:rPr>
          <w:rFonts w:eastAsia="georgia" w:cs="georgia" w:ascii="georgia" w:hAnsi="georgia"/>
          <w:color w:val="000000"/>
        </w:rPr>
        <w:t xml:space="preserve">The following is a synthesis of Brandon Hines' publicly traceable intellectual output — sourced from his Substack (</w:t>
      </w:r>
      <w:r>
        <w:rPr>
          <w:rFonts w:eastAsia="georgia" w:cs="georgia" w:ascii="georgia" w:hAnsi="georgia"/>
          <w:i/>
          <w:color w:val="000000"/>
        </w:rPr>
        <w:t xml:space="preserve">Ritual BCI OS: The Sovereign's Declaration</w:t>
      </w:r>
      <w:r>
        <w:rPr>
          <w:rFonts w:eastAsia="georgia" w:cs="georgia" w:ascii="georgia" w:hAnsi="georgia"/>
          <w:color w:val="000000"/>
        </w:rPr>
        <w:t xml:space="preserve">), </w:t>
      </w:r>
      <w:hyperlink r:id="rId5">
        <w:r>
          <w:rPr>
            <w:rFonts w:eastAsia="helvetica neue" w:cs="helvetica neue" w:ascii="helvetica neue" w:hAnsi="helvetica neue"/>
            <w:color w:val="#000"/>
            <w:u w:val="single"/>
          </w:rPr>
          <w:t xml:space="preserve">Academia.edu</w:t>
        </w:r>
      </w:hyperlink>
      <w:r>
        <w:rPr>
          <w:rFonts w:eastAsia="georgia" w:cs="georgia" w:ascii="georgia" w:hAnsi="georgia"/>
          <w:color w:val="000000"/>
        </w:rPr>
        <w:t xml:space="preserve"> papers, LinkedIn long-form, YouTube explainers, and the GitHub-registered ARCHON Ψ cognitive measurement engine repository.[</w:t>
      </w:r>
      <w:r>
        <w:rPr>
          <w:rFonts w:eastAsia="georgia" w:cs="georgia" w:ascii="georgia" w:hAnsi="georgia"/>
          <w:color w:val="000000"/>
          <w:vertAlign w:val="superscript"/>
        </w:rPr>
        <w:t xml:space="preserve">1][</w:t>
      </w:r>
      <w:r>
        <w:rPr>
          <w:rFonts w:eastAsia="georgia" w:cs="georgia" w:ascii="georgia" w:hAnsi="georgia"/>
          <w:color w:val="000000"/>
        </w:rPr>
        <w:t xml:space="preserve">2][^3]</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4" w:name="jewel_1_intellectual_data_electri_6b2c44"/>
      <w:r>
        <w:rPr>
          <w:rFonts w:eastAsia="georgia" w:cs="georgia" w:ascii="georgia" w:hAnsi="georgia"/>
          <w:b/>
          <w:color w:val="000000"/>
          <w:sz w:val="24"/>
        </w:rPr>
        <w:t xml:space="preserve">Jewel 1 — "Intellectual Data = Electric Currency"</w:t>
      </w:r>
      <w:bookmarkEnd w:id="4"/>
    </w:p>
    <w:p>
      <w:pPr>
        <w:spacing w:line="360" w:after="210" w:lineRule="auto"/>
      </w:pPr>
      <w:r>
        <w:rPr>
          <w:rFonts w:eastAsia="georgia" w:cs="georgia" w:ascii="georgia" w:hAnsi="georgia"/>
          <w:color w:val="000000"/>
        </w:rPr>
        <w:t xml:space="preserve">Published in: </w:t>
      </w:r>
      <w:r>
        <w:rPr>
          <w:rFonts w:eastAsia="georgia" w:cs="georgia" w:ascii="georgia" w:hAnsi="georgia"/>
          <w:i/>
          <w:color w:val="000000"/>
        </w:rPr>
        <w:t xml:space="preserve">Beyond the Algorithm: Why 'Portalogics' and the Neuro-Economy of Intellectual Data are the True Future of Perch (and Reading Itself)</w:t>
      </w:r>
      <w:r>
        <w:rPr>
          <w:rFonts w:eastAsia="georgia" w:cs="georgia" w:ascii="georgia" w:hAnsi="georgia"/>
          <w:color w:val="000000"/>
        </w:rPr>
        <w:t xml:space="preserve">[^4]</w:t>
      </w:r>
    </w:p>
    <w:p>
      <w:pPr>
        <w:spacing w:line="360" w:after="210" w:lineRule="auto"/>
      </w:pPr>
      <w:r>
        <w:rPr>
          <w:rFonts w:eastAsia="georgia" w:cs="georgia" w:ascii="georgia" w:hAnsi="georgia"/>
          <w:color w:val="000000"/>
        </w:rPr>
        <w:t xml:space="preserve">The core insight: engagement metrics (opens, finishes, shares) reveal </w:t>
      </w:r>
      <w:r>
        <w:rPr>
          <w:rFonts w:eastAsia="georgia" w:cs="georgia" w:ascii="georgia" w:hAnsi="georgia"/>
          <w:i/>
          <w:color w:val="000000"/>
        </w:rPr>
        <w:t xml:space="preserve">what</w:t>
      </w:r>
      <w:r>
        <w:rPr>
          <w:rFonts w:eastAsia="georgia" w:cs="georgia" w:ascii="georgia" w:hAnsi="georgia"/>
          <w:color w:val="000000"/>
        </w:rPr>
        <w:t xml:space="preserve"> users did, not </w:t>
      </w:r>
      <w:r>
        <w:rPr>
          <w:rFonts w:eastAsia="georgia" w:cs="georgia" w:ascii="georgia" w:hAnsi="georgia"/>
          <w:i/>
          <w:color w:val="000000"/>
        </w:rPr>
        <w:t xml:space="preserve">why</w:t>
      </w:r>
      <w:r>
        <w:rPr>
          <w:rFonts w:eastAsia="georgia" w:cs="georgia" w:ascii="georgia" w:hAnsi="georgia"/>
          <w:color w:val="000000"/>
        </w:rPr>
        <w:t xml:space="preserve"> content resonated or </w:t>
      </w:r>
      <w:r>
        <w:rPr>
          <w:rFonts w:eastAsia="georgia" w:cs="georgia" w:ascii="georgia" w:hAnsi="georgia"/>
          <w:i/>
          <w:color w:val="000000"/>
        </w:rPr>
        <w:t xml:space="preserve">how</w:t>
      </w:r>
      <w:r>
        <w:rPr>
          <w:rFonts w:eastAsia="georgia" w:cs="georgia" w:ascii="georgia" w:hAnsi="georgia"/>
          <w:color w:val="000000"/>
        </w:rPr>
        <w:t xml:space="preserve"> it restructured cognition. True intellectual value is not captured by behavior — it is captured by cognitive transformation. The essay introduces </w:t>
      </w:r>
      <w:r>
        <w:rPr>
          <w:rFonts w:eastAsia="georgia" w:cs="georgia" w:ascii="georgia" w:hAnsi="georgia"/>
          <w:b/>
          <w:color w:val="000000"/>
        </w:rPr>
        <w:t xml:space="preserve">Portalogics</w:t>
      </w:r>
      <w:r>
        <w:rPr>
          <w:rFonts w:eastAsia="georgia" w:cs="georgia" w:ascii="georgia" w:hAnsi="georgia"/>
          <w:color w:val="000000"/>
        </w:rPr>
        <w:t xml:space="preserve"> as a framework where intellectual data functions as a currency unit that is generated when a reader experiences a paradigm shift, not merely a page view. This idea underpins ARCHON's foundational premise: cognition produces capital only when it is measured at the event level.[^4]</w:t>
      </w:r>
    </w:p>
    <w:p>
      <w:pPr>
        <w:spacing w:line="360" w:after="210" w:lineRule="auto"/>
      </w:pPr>
      <w:r>
        <w:rPr>
          <w:rFonts w:eastAsia="georgia" w:cs="georgia" w:ascii="georgia" w:hAnsi="georgia"/>
          <w:b/>
          <w:color w:val="000000"/>
        </w:rPr>
        <w:t xml:space="preserve">AI Relevance:</w:t>
      </w:r>
      <w:r>
        <w:rPr>
          <w:rFonts w:eastAsia="georgia" w:cs="georgia" w:ascii="georgia" w:hAnsi="georgia"/>
          <w:color w:val="000000"/>
        </w:rPr>
        <w:t xml:space="preserve"> This reframes the AI alignment problem. Rather than rewarding AI for attention (clicks, engagement), Portalogics rewards AI systems for </w:t>
      </w:r>
      <w:r>
        <w:rPr>
          <w:rFonts w:eastAsia="georgia" w:cs="georgia" w:ascii="georgia" w:hAnsi="georgia"/>
          <w:i/>
          <w:color w:val="000000"/>
        </w:rPr>
        <w:t xml:space="preserve">impact</w:t>
      </w:r>
      <w:r>
        <w:rPr>
          <w:rFonts w:eastAsia="georgia" w:cs="georgia" w:ascii="georgia" w:hAnsi="georgia"/>
          <w:color w:val="000000"/>
        </w:rPr>
        <w:t xml:space="preserve"> — measurable shifts in the human's cognitive state. This is the infrastructure layer that mainstream LLMs and recommendation systems have not built.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5" w:name="jewel_2_the_law_of_semantic_energ_58e55c"/>
      <w:r>
        <w:rPr>
          <w:rFonts w:eastAsia="georgia" w:cs="georgia" w:ascii="georgia" w:hAnsi="georgia"/>
          <w:b/>
          <w:color w:val="000000"/>
          <w:sz w:val="24"/>
        </w:rPr>
        <w:t xml:space="preserve">Jewel 2 — The Law of Semantic Energy: E = mc² × μ</w:t>
      </w:r>
      <w:bookmarkEnd w:id="5"/>
    </w:p>
    <w:p>
      <w:pPr>
        <w:spacing w:line="360" w:after="210" w:lineRule="auto"/>
      </w:pPr>
      <w:r>
        <w:rPr>
          <w:rFonts w:eastAsia="georgia" w:cs="georgia" w:ascii="georgia" w:hAnsi="georgia"/>
          <w:color w:val="000000"/>
        </w:rPr>
        <w:t xml:space="preserve">Published in: </w:t>
      </w:r>
      <w:r>
        <w:rPr>
          <w:rFonts w:eastAsia="georgia" w:cs="georgia" w:ascii="georgia" w:hAnsi="georgia"/>
          <w:i/>
          <w:color w:val="000000"/>
        </w:rPr>
        <w:t xml:space="preserve">The Law of Semantic Energy: Extending Einstein's Mass-Energy Equivalence to Consciousness and Information</w:t>
      </w:r>
      <w:r>
        <w:rPr>
          <w:rFonts w:eastAsia="georgia" w:cs="georgia" w:ascii="georgia" w:hAnsi="georgia"/>
          <w:color w:val="000000"/>
        </w:rPr>
        <w:t xml:space="preserve">[^5]</w:t>
      </w:r>
    </w:p>
    <w:p>
      <w:pPr>
        <w:spacing w:line="360" w:after="210" w:lineRule="auto"/>
      </w:pPr>
      <w:r>
        <w:rPr>
          <w:rFonts w:eastAsia="georgia" w:cs="georgia" w:ascii="georgia" w:hAnsi="georgia"/>
          <w:color w:val="000000"/>
        </w:rPr>
        <w:t xml:space="preserve">The framework extends Einstein's mass-energy equivalence to incorporate information coherence via a novel parameter μ (the Coherence Factor): </w:t>
      </w:r>
      <w:r>
        <w:rPr>
          <w:rFonts w:eastAsia="georgia" w:cs="georgia" w:ascii="georgia" w:hAnsi="georgia"/>
          <w:b/>
          <w:color w:val="000000"/>
        </w:rPr>
        <w:t xml:space="preserve">E = mc² × μ</w:t>
      </w:r>
      <w:r>
        <w:rPr>
          <w:rFonts w:eastAsia="georgia" w:cs="georgia" w:ascii="georgia" w:hAnsi="georgia"/>
          <w:color w:val="000000"/>
        </w:rPr>
        <w:t xml:space="preserve">. The paper introduces the </w:t>
      </w:r>
      <w:r>
        <w:rPr>
          <w:rFonts w:eastAsia="georgia" w:cs="georgia" w:ascii="georgia" w:hAnsi="georgia"/>
          <w:b/>
          <w:color w:val="000000"/>
        </w:rPr>
        <w:t xml:space="preserve">Consciousness Coherence Quotient (CCQ)</w:t>
      </w:r>
      <w:r>
        <w:rPr>
          <w:rFonts w:eastAsia="georgia" w:cs="georgia" w:ascii="georgia" w:hAnsi="georgia"/>
          <w:color w:val="000000"/>
        </w:rPr>
        <w:t xml:space="preserve"> defined as:[^5]</w:t>
      </w:r>
    </w:p>
    <w:p>
      <w:pPr>
        <w:spacing w:line="360" w:after="210" w:lineRule="auto"/>
      </w:pPr>
      <m:oMathPara>
        <m:oMath>
          <m:r>
            <m:rPr>
              <m:nor/>
            </m:rPr>
            <w:rPr>
              <w:color w:val="000000"/>
            </w:rPr>
            <m:t>CCQ</m:t>
          </m:r>
          <m:r>
            <m:rPr>
              <m:sty m:val="p"/>
            </m:rPr>
            <w:rPr>
              <w:color w:val="000000"/>
            </w:rPr>
            <m:t>=</m:t>
          </m:r>
          <m:r>
            <m:rPr>
              <m:sty m:val="p"/>
            </m:rPr>
            <w:rPr>
              <w:color w:val="000000"/>
            </w:rPr>
            <m:t>Φ</m:t>
          </m:r>
          <m:r>
            <m:rPr>
              <m:sty m:val="p"/>
            </m:rPr>
            <w:rPr>
              <w:color w:val="000000"/>
            </w:rPr>
            <m:t>×</m:t>
          </m:r>
          <m:r>
            <m:rPr>
              <m:sty m:val="i"/>
            </m:rPr>
            <w:rPr>
              <w:color w:val="000000"/>
            </w:rPr>
            <m:t>ψ</m:t>
          </m:r>
          <m:r>
            <m:rPr>
              <m:sty m:val="p"/>
            </m:rPr>
            <w:rPr>
              <w:color w:val="000000"/>
            </w:rPr>
            <m:t>×</m:t>
          </m:r>
          <m:r>
            <m:rPr>
              <m:sty m:val="i"/>
            </m:rPr>
            <w:rPr>
              <w:color w:val="000000"/>
            </w:rPr>
            <m:t>λ</m:t>
          </m:r>
        </m:oMath>
      </m:oMathPara>
    </w:p>
    <w:p>
      <w:pPr>
        <w:spacing w:line="360" w:after="210" w:lineRule="auto"/>
      </w:pPr>
      <w:r>
        <w:rPr>
          <w:rFonts w:eastAsia="georgia" w:cs="georgia" w:ascii="georgia" w:hAnsi="georgia"/>
          <w:color w:val="000000"/>
        </w:rPr>
        <w:t xml:space="preserve">where Φ = integrated information (Tononi's IIT), ψ = neural coherence via phase synchronization, and λ = cognitive load. The paper reports empirical validation across 847 million neural patterns from 12,000+ neurofeedback sessions, demonstrating 96.74% accuracy in consciousness state classification (κ = 0.96), with CCQ correlating strongly with subjective experience (r = 0.91, p &lt; 0.001).[^5]</w:t>
      </w:r>
    </w:p>
    <w:p>
      <w:pPr>
        <w:spacing w:line="360" w:after="210" w:lineRule="auto"/>
      </w:pPr>
      <w:r>
        <w:rPr>
          <w:rFonts w:eastAsia="georgia" w:cs="georgia" w:ascii="georgia" w:hAnsi="georgia"/>
          <w:b/>
          <w:color w:val="000000"/>
        </w:rPr>
        <w:t xml:space="preserve">AI Relevance:</w:t>
      </w:r>
      <w:r>
        <w:rPr>
          <w:rFonts w:eastAsia="georgia" w:cs="georgia" w:ascii="georgia" w:hAnsi="georgia"/>
          <w:color w:val="000000"/>
        </w:rPr>
        <w:t xml:space="preserve"> The CCQ provides a quantitative proxy for cognitive output quality that can be embedded in AI scoring pipelines. Instead of asking "did the AI produce a correct output?" ARCHON asks "did the human's coherence increase after engaging with that output?" — a fundamentally different and more durable evaluation signal.</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6" w:name="jewel_3_four_wave_convergence_neu_7917f5"/>
      <w:r>
        <w:rPr>
          <w:rFonts w:eastAsia="georgia" w:cs="georgia" w:ascii="georgia" w:hAnsi="georgia"/>
          <w:b/>
          <w:color w:val="000000"/>
          <w:sz w:val="24"/>
        </w:rPr>
        <w:t xml:space="preserve">Jewel 3 — Four-Wave Convergence: Neural Capitalism as Transcendent Economic Paradigm</w:t>
      </w:r>
      <w:bookmarkEnd w:id="6"/>
    </w:p>
    <w:p>
      <w:pPr>
        <w:spacing w:line="360" w:after="210" w:lineRule="auto"/>
      </w:pPr>
      <w:r>
        <w:rPr>
          <w:rFonts w:eastAsia="georgia" w:cs="georgia" w:ascii="georgia" w:hAnsi="georgia"/>
          <w:color w:val="000000"/>
        </w:rPr>
        <w:t xml:space="preserve">Published in: </w:t>
      </w:r>
      <w:r>
        <w:rPr>
          <w:rFonts w:eastAsia="georgia" w:cs="georgia" w:ascii="georgia" w:hAnsi="georgia"/>
          <w:i/>
          <w:color w:val="000000"/>
        </w:rPr>
        <w:t xml:space="preserve">The Four-Wave Convergence: Neural Capitalism as the Transcendent Economic Paradigm</w:t>
      </w:r>
      <w:r>
        <w:rPr>
          <w:rFonts w:eastAsia="georgia" w:cs="georgia" w:ascii="georgia" w:hAnsi="georgia"/>
          <w:color w:val="000000"/>
        </w:rPr>
        <w:t xml:space="preserve">[^6]</w:t>
      </w:r>
    </w:p>
    <w:p>
      <w:pPr>
        <w:spacing w:line="360" w:after="210" w:lineRule="auto"/>
      </w:pPr>
      <w:r>
        <w:rPr>
          <w:rFonts w:eastAsia="georgia" w:cs="georgia" w:ascii="georgia" w:hAnsi="georgia"/>
          <w:color w:val="000000"/>
        </w:rPr>
        <w:t xml:space="preserve">Neural Capitalism posits that four waves are converging simultaneously: (1) the collapse of credential-based human capital valuation, (2) the rise of agentic AI as co-producer of cognitive labor, (3) the tokenization of intellectual assets, and (4) non-invasive BCI achieving enterprise-grade resolution. The intersection of all four creates a new capital class — </w:t>
      </w:r>
      <w:r>
        <w:rPr>
          <w:rFonts w:eastAsia="georgia" w:cs="georgia" w:ascii="georgia" w:hAnsi="georgia"/>
          <w:b/>
          <w:color w:val="000000"/>
        </w:rPr>
        <w:t xml:space="preserve">cognitive capital</w:t>
      </w:r>
      <w:r>
        <w:rPr>
          <w:rFonts w:eastAsia="georgia" w:cs="georgia" w:ascii="georgia" w:hAnsi="georgia"/>
          <w:color w:val="000000"/>
        </w:rPr>
        <w:t xml:space="preserve"> — that is investable, tradable, and compoundable.[</w:t>
      </w:r>
      <w:r>
        <w:rPr>
          <w:rFonts w:eastAsia="georgia" w:cs="georgia" w:ascii="georgia" w:hAnsi="georgia"/>
          <w:color w:val="000000"/>
          <w:vertAlign w:val="superscript"/>
        </w:rPr>
        <w:t xml:space="preserve">7][</w:t>
      </w:r>
      <w:r>
        <w:rPr>
          <w:rFonts w:eastAsia="georgia" w:cs="georgia" w:ascii="georgia" w:hAnsi="georgia"/>
          <w:color w:val="000000"/>
        </w:rPr>
        <w:t xml:space="preserve">8][^6]</w:t>
      </w:r>
    </w:p>
    <w:p>
      <w:pPr>
        <w:spacing w:line="360" w:after="210" w:lineRule="auto"/>
      </w:pPr>
      <w:r>
        <w:rPr>
          <w:rFonts w:eastAsia="georgia" w:cs="georgia" w:ascii="georgia" w:hAnsi="georgia"/>
          <w:b/>
          <w:color w:val="000000"/>
        </w:rPr>
        <w:t xml:space="preserve">AI Relevance:</w:t>
      </w:r>
      <w:r>
        <w:rPr>
          <w:rFonts w:eastAsia="georgia" w:cs="georgia" w:ascii="georgia" w:hAnsi="georgia"/>
          <w:color w:val="000000"/>
        </w:rPr>
        <w:t xml:space="preserve"> Neural Capitalism is the market thesis that positions AI not as a labor replacement but as a </w:t>
      </w:r>
      <w:r>
        <w:rPr>
          <w:rFonts w:eastAsia="georgia" w:cs="georgia" w:ascii="georgia" w:hAnsi="georgia"/>
          <w:i/>
          <w:color w:val="000000"/>
        </w:rPr>
        <w:t xml:space="preserve">scoring co-agent</w:t>
      </w:r>
      <w:r>
        <w:rPr>
          <w:rFonts w:eastAsia="georgia" w:cs="georgia" w:ascii="georgia" w:hAnsi="georgia"/>
          <w:color w:val="000000"/>
        </w:rPr>
        <w:t xml:space="preserve"> — AI evaluates, certifies, and trades human cognitive assets. ARCHON Ψ is the measurement infrastructure for this market.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7" w:name="jewel_4_neural_capital_os_the_hpb_c19f62"/>
      <w:r>
        <w:rPr>
          <w:rFonts w:eastAsia="georgia" w:cs="georgia" w:ascii="georgia" w:hAnsi="georgia"/>
          <w:b/>
          <w:color w:val="000000"/>
          <w:sz w:val="24"/>
        </w:rPr>
        <w:t xml:space="preserve">Jewel 4 — Neural Capital OS &amp; the HPBI Index Family</w:t>
      </w:r>
      <w:bookmarkEnd w:id="7"/>
    </w:p>
    <w:p>
      <w:pPr>
        <w:spacing w:line="360" w:after="210" w:lineRule="auto"/>
      </w:pPr>
      <w:r>
        <w:rPr>
          <w:rFonts w:eastAsia="georgia" w:cs="georgia" w:ascii="georgia" w:hAnsi="georgia"/>
          <w:color w:val="000000"/>
        </w:rPr>
        <w:t xml:space="preserve">Published in: </w:t>
      </w:r>
      <w:r>
        <w:rPr>
          <w:rFonts w:eastAsia="georgia" w:cs="georgia" w:ascii="georgia" w:hAnsi="georgia"/>
          <w:i/>
          <w:color w:val="000000"/>
        </w:rPr>
        <w:t xml:space="preserve">Neural Capital OS and the Human Potential Becoming Investable (HPBI) Index Family</w:t>
      </w:r>
      <w:r>
        <w:rPr>
          <w:rFonts w:eastAsia="georgia" w:cs="georgia" w:ascii="georgia" w:hAnsi="georgia"/>
          <w:color w:val="000000"/>
        </w:rPr>
        <w:t xml:space="preserve">[^9]</w:t>
      </w:r>
    </w:p>
    <w:p>
      <w:pPr>
        <w:spacing w:line="360" w:after="210" w:lineRule="auto"/>
      </w:pPr>
      <w:r>
        <w:rPr>
          <w:rFonts w:eastAsia="georgia" w:cs="georgia" w:ascii="georgia" w:hAnsi="georgia"/>
          <w:color w:val="000000"/>
        </w:rPr>
        <w:t xml:space="preserve">This is the most architecturally complete paper. It describes a unified measurement stack with the following layers:[</w:t>
      </w:r>
      <w:r>
        <w:rPr>
          <w:rFonts w:eastAsia="georgia" w:cs="georgia" w:ascii="georgia" w:hAnsi="georgia"/>
          <w:color w:val="000000"/>
          <w:vertAlign w:val="superscript"/>
        </w:rPr>
        <w:t xml:space="preserve">10][</w:t>
      </w:r>
      <w:r>
        <w:rPr>
          <w:rFonts w:eastAsia="georgia" w:cs="georgia" w:ascii="georgia" w:hAnsi="georgia"/>
          <w:color w:val="000000"/>
        </w:rPr>
        <w:t xml:space="preserve">9]</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Layer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Name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Function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Sensory Intake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VSK Pipeline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Causal intake of visual, somatic, kinesthetic signals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Operational Rail</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IMCM</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Intent → Motion → Conversion → Monetization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Index Family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HPBI-Delta</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Learning velocity scoring</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Index Family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HPBI-Omega</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Operational contribution scoring</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Index Family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HPBI-Psi</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Sovereign cognitive structure scoring</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Coherence Measure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ARCHON Ψ</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Master coherence signal over time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Economic Truth Layer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Omega-Gap</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Detects overclaims, separates durable assets from narrative inflation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Economic Truth Layer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StoneScore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Durability scoring of cognitive assets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Economic Truth Layer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QTAC²</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Terminal scoring equation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Canonical Archive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Canon Ledger</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CB-285 → CB-365+ permanence-layer for cognitive assets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Market Layer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Immortal Candidate Marketplace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Civilizational-scale asset scoring across gold, TCP/IP, Plato's dialogues</w:t>
            </w:r>
          </w:p>
        </w:tc>
      </w:tr>
    </w:tbl>
    <w:p>
      <w:pPr>
        <w:spacing w:lineRule="auto"/>
      </w:pPr>
    </w:p>
    <w:p>
      <w:pPr>
        <w:spacing w:line="360" w:after="210" w:lineRule="auto"/>
      </w:pPr>
      <w:r>
        <w:rPr>
          <w:rFonts w:eastAsia="georgia" w:cs="georgia" w:ascii="georgia" w:hAnsi="georgia"/>
          <w:color w:val="000000"/>
        </w:rPr>
        <w:t xml:space="preserve">The first fully instrumented subject running the full stack is the author himself, documented as </w:t>
      </w:r>
      <w:r>
        <w:rPr>
          <w:rFonts w:eastAsia="georgia" w:cs="georgia" w:ascii="georgia" w:hAnsi="georgia"/>
          <w:b/>
          <w:color w:val="000000"/>
        </w:rPr>
        <w:t xml:space="preserve">Brandon Hines 001-Psi</w:t>
      </w:r>
      <w:r>
        <w:rPr>
          <w:rFonts w:eastAsia="georgia" w:cs="georgia" w:ascii="georgia" w:hAnsi="georgia"/>
          <w:color w:val="000000"/>
        </w:rPr>
        <w:t xml:space="preserve"> — a public experiment in making human-AI cognition legible, measurable, and ultimately investable.[^9]</w:t>
      </w:r>
    </w:p>
    <w:p>
      <w:pPr>
        <w:spacing w:line="360" w:after="210" w:lineRule="auto"/>
      </w:pPr>
      <w:r>
        <w:rPr>
          <w:rFonts w:eastAsia="georgia" w:cs="georgia" w:ascii="georgia" w:hAnsi="georgia"/>
          <w:b/>
          <w:color w:val="000000"/>
        </w:rPr>
        <w:t xml:space="preserve">AI Relevance:</w:t>
      </w:r>
      <w:r>
        <w:rPr>
          <w:rFonts w:eastAsia="georgia" w:cs="georgia" w:ascii="georgia" w:hAnsi="georgia"/>
          <w:color w:val="000000"/>
        </w:rPr>
        <w:t xml:space="preserve"> The HPBI architecture is a complete AI scoring protocol for human capital. It addresses the single most critical gap in the current AI landscape: there is no institutional standard for scoring </w:t>
      </w:r>
      <w:r>
        <w:rPr>
          <w:rFonts w:eastAsia="georgia" w:cs="georgia" w:ascii="georgia" w:hAnsi="georgia"/>
          <w:i/>
          <w:color w:val="000000"/>
        </w:rPr>
        <w:t xml:space="preserve">human cognitive contribution</w:t>
      </w:r>
      <w:r>
        <w:rPr>
          <w:rFonts w:eastAsia="georgia" w:cs="georgia" w:ascii="georgia" w:hAnsi="georgia"/>
          <w:color w:val="000000"/>
        </w:rPr>
        <w:t xml:space="preserve"> the way CFA scores financial analysis or FICO scores creditworthiness.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8" w:name="jewel_5_volts_tokenomics_consciou_d3afdc"/>
      <w:r>
        <w:rPr>
          <w:rFonts w:eastAsia="georgia" w:cs="georgia" w:ascii="georgia" w:hAnsi="georgia"/>
          <w:b/>
          <w:color w:val="000000"/>
          <w:sz w:val="24"/>
        </w:rPr>
        <w:t xml:space="preserve">Jewel 5 — VOLTS Tokenomics: Consciousness-Backed Currency</w:t>
      </w:r>
      <w:bookmarkEnd w:id="8"/>
    </w:p>
    <w:p>
      <w:pPr>
        <w:spacing w:line="360" w:after="210" w:lineRule="auto"/>
      </w:pPr>
      <w:r>
        <w:rPr>
          <w:rFonts w:eastAsia="georgia" w:cs="georgia" w:ascii="georgia" w:hAnsi="georgia"/>
          <w:color w:val="000000"/>
        </w:rPr>
        <w:t xml:space="preserve">From: </w:t>
      </w:r>
      <w:r>
        <w:rPr>
          <w:rFonts w:eastAsia="georgia" w:cs="georgia" w:ascii="georgia" w:hAnsi="georgia"/>
          <w:i/>
          <w:color w:val="000000"/>
        </w:rPr>
        <w:t xml:space="preserve">VOLTS Blueprint Intelligence</w:t>
      </w:r>
      <w:r>
        <w:rPr>
          <w:rFonts w:eastAsia="georgia" w:cs="georgia" w:ascii="georgia" w:hAnsi="georgia"/>
          <w:color w:val="000000"/>
        </w:rPr>
        <w:t xml:space="preserve"> and </w:t>
      </w:r>
      <w:r>
        <w:rPr>
          <w:rFonts w:eastAsia="georgia" w:cs="georgia" w:ascii="georgia" w:hAnsi="georgia"/>
          <w:i/>
          <w:color w:val="000000"/>
        </w:rPr>
        <w:t xml:space="preserve">Navigating the Path to Success: Legal, Community, and Marketing Strategies for VOLTS Cryptocurrency</w:t>
      </w:r>
      <w:r>
        <w:rPr>
          <w:rFonts w:eastAsia="georgia" w:cs="georgia" w:ascii="georgia" w:hAnsi="georgia"/>
          <w:color w:val="000000"/>
        </w:rPr>
        <w:t xml:space="preserve">[</w:t>
      </w:r>
      <w:r>
        <w:rPr>
          <w:rFonts w:eastAsia="georgia" w:cs="georgia" w:ascii="georgia" w:hAnsi="georgia"/>
          <w:color w:val="000000"/>
          <w:vertAlign w:val="superscript"/>
        </w:rPr>
        <w:t xml:space="preserve">11][</w:t>
      </w:r>
      <w:r>
        <w:rPr>
          <w:rFonts w:eastAsia="georgia" w:cs="georgia" w:ascii="georgia" w:hAnsi="georgia"/>
          <w:color w:val="000000"/>
        </w:rPr>
        <w:t xml:space="preserve">12]</w:t>
      </w:r>
    </w:p>
    <w:p>
      <w:pPr>
        <w:spacing w:line="360" w:after="210" w:lineRule="auto"/>
      </w:pPr>
      <w:r>
        <w:rPr>
          <w:rFonts w:eastAsia="georgia" w:cs="georgia" w:ascii="georgia" w:hAnsi="georgia"/>
          <w:color w:val="000000"/>
        </w:rPr>
        <w:t xml:space="preserve">VOLTS are not a speculative cryptocurrency. They are a </w:t>
      </w:r>
      <w:r>
        <w:rPr>
          <w:rFonts w:eastAsia="georgia" w:cs="georgia" w:ascii="georgia" w:hAnsi="georgia"/>
          <w:b/>
          <w:color w:val="000000"/>
        </w:rPr>
        <w:t xml:space="preserve">consciousness-backed token</w:t>
      </w:r>
      <w:r>
        <w:rPr>
          <w:rFonts w:eastAsia="georgia" w:cs="georgia" w:ascii="georgia" w:hAnsi="georgia"/>
          <w:color w:val="000000"/>
        </w:rPr>
        <w:t xml:space="preserve"> emitted via the formula:</w:t>
      </w:r>
    </w:p>
    <w:p>
      <w:pPr>
        <w:spacing w:line="360" w:after="210" w:lineRule="auto"/>
      </w:pPr>
      <m:oMathPara>
        <m:oMath>
          <m:r>
            <m:rPr>
              <m:sty m:val="i"/>
            </m:rPr>
            <w:rPr>
              <w:color w:val="000000"/>
            </w:rPr>
            <m:t>B</m:t>
          </m:r>
          <m:r>
            <m:rPr>
              <m:sty m:val="p"/>
            </m:rPr>
            <w:rPr>
              <w:color w:val="000000"/>
            </w:rPr>
            <m:t>×</m:t>
          </m:r>
          <m:sSub>
            <m:sSubPr>
              <m:ctrlPr>
                <w:rPr>
                  <w:rFonts w:ascii="Cambria Math" w:hAnsi="Cambria Math"/>
                  <w:color w:val="000000"/>
                </w:rPr>
              </m:ctrlPr>
            </m:sSubPr>
            <m:e>
              <m:r>
                <m:rPr>
                  <m:sty m:val="i"/>
                </m:rPr>
                <w:rPr>
                  <w:color w:val="000000"/>
                </w:rPr>
                <m:t>M</m:t>
              </m:r>
            </m:e>
            <m:sub>
              <m:r>
                <m:rPr>
                  <m:sty m:val="i"/>
                </m:rPr>
                <w:rPr>
                  <w:color w:val="000000"/>
                </w:rPr>
                <m:t>L</m:t>
              </m:r>
            </m:sub>
          </m:sSub>
          <m:r>
            <m:rPr>
              <m:sty m:val="p"/>
            </m:rPr>
            <w:rPr>
              <w:color w:val="000000"/>
            </w:rPr>
            <m:t>×</m:t>
          </m:r>
          <m:sSub>
            <m:sSubPr>
              <m:ctrlPr>
                <w:rPr>
                  <w:rFonts w:ascii="Cambria Math" w:hAnsi="Cambria Math"/>
                  <w:color w:val="000000"/>
                </w:rPr>
              </m:ctrlPr>
            </m:sSubPr>
            <m:e>
              <m:r>
                <m:rPr>
                  <m:sty m:val="i"/>
                </m:rPr>
                <w:rPr>
                  <w:color w:val="000000"/>
                </w:rPr>
                <m:t>C</m:t>
              </m:r>
            </m:e>
            <m:sub>
              <m:r>
                <m:rPr>
                  <m:sty m:val="i"/>
                </m:rPr>
                <w:rPr>
                  <w:color w:val="000000"/>
                </w:rPr>
                <m:t>g</m:t>
              </m:r>
            </m:sub>
          </m:sSub>
          <m:r>
            <m:rPr>
              <m:sty m:val="p"/>
            </m:rPr>
            <w:rPr>
              <w:color w:val="000000"/>
            </w:rPr>
            <m:t>×</m:t>
          </m:r>
          <m:sSub>
            <m:sSubPr>
              <m:ctrlPr>
                <w:rPr>
                  <w:rFonts w:ascii="Cambria Math" w:hAnsi="Cambria Math"/>
                  <w:color w:val="000000"/>
                </w:rPr>
              </m:ctrlPr>
            </m:sSubPr>
            <m:e>
              <m:r>
                <m:rPr>
                  <m:sty m:val="i"/>
                </m:rPr>
                <w:rPr>
                  <w:color w:val="000000"/>
                </w:rPr>
                <m:t>G</m:t>
              </m:r>
            </m:e>
            <m:sub>
              <m:r>
                <m:rPr>
                  <m:sty m:val="i"/>
                </m:rPr>
                <w:rPr>
                  <w:color w:val="000000"/>
                </w:rPr>
                <m:t>h</m:t>
              </m:r>
            </m:sub>
          </m:sSub>
          <m:r>
            <m:rPr>
              <m:sty m:val="p"/>
            </m:rPr>
            <w:rPr>
              <w:color w:val="000000"/>
            </w:rPr>
            <m:t>×</m:t>
          </m:r>
          <m:sSub>
            <m:sSubPr>
              <m:ctrlPr>
                <w:rPr>
                  <w:rFonts w:ascii="Cambria Math" w:hAnsi="Cambria Math"/>
                  <w:color w:val="000000"/>
                </w:rPr>
              </m:ctrlPr>
            </m:sSubPr>
            <m:e>
              <m:r>
                <m:rPr>
                  <m:sty m:val="i"/>
                </m:rPr>
                <w:rPr>
                  <w:color w:val="000000"/>
                </w:rPr>
                <m:t>G</m:t>
              </m:r>
            </m:e>
            <m:sub>
              <m:r>
                <m:rPr>
                  <m:sty m:val="i"/>
                </m:rPr>
                <w:rPr>
                  <w:color w:val="000000"/>
                </w:rPr>
                <m:t>a</m:t>
              </m:r>
            </m:sub>
          </m:sSub>
        </m:oMath>
      </m:oMathPara>
    </w:p>
    <w:p>
      <w:pPr>
        <w:spacing w:line="360" w:after="210" w:lineRule="auto"/>
      </w:pPr>
      <w:r>
        <w:rPr>
          <w:rFonts w:eastAsia="georgia" w:cs="georgia" w:ascii="georgia" w:hAnsi="georgia"/>
          <w:color w:val="000000"/>
        </w:rPr>
        <w:t xml:space="preserve">where B = base cognitive event, M_L = learning multiplier, C_g = cognitive gain, G_h = human growth factor, G_a = agent-assisted gain. VOLTS are emitted as rewards for entropy reduction, coherence increase, and observer-driven human focus — making them functionally closer to a productivity derivative than a speculative asset. The VOLTS standard is articulated as: </w:t>
      </w:r>
      <w:r>
        <w:rPr>
          <w:rFonts w:eastAsia="georgia" w:cs="georgia" w:ascii="georgia" w:hAnsi="georgia"/>
          <w:i/>
          <w:color w:val="000000"/>
        </w:rPr>
        <w:t xml:space="preserve">"We are moving from a gold standard to a cognitive standard. Mint your mind."</w:t>
      </w:r>
      <w:r>
        <w:rPr>
          <w:rFonts w:eastAsia="georgia" w:cs="georgia" w:ascii="georgia" w:hAnsi="georgia"/>
          <w:color w:val="000000"/>
        </w:rPr>
        <w:t xml:space="preserve">[</w:t>
      </w:r>
      <w:r>
        <w:rPr>
          <w:rFonts w:eastAsia="georgia" w:cs="georgia" w:ascii="georgia" w:hAnsi="georgia"/>
          <w:color w:val="000000"/>
          <w:vertAlign w:val="superscript"/>
        </w:rPr>
        <w:t xml:space="preserve">13][</w:t>
      </w:r>
      <w:r>
        <w:rPr>
          <w:rFonts w:eastAsia="georgia" w:cs="georgia" w:ascii="georgia" w:hAnsi="georgia"/>
          <w:color w:val="000000"/>
        </w:rPr>
        <w:t xml:space="preserve">11]</w:t>
      </w:r>
    </w:p>
    <w:p>
      <w:pPr>
        <w:spacing w:line="360" w:after="210" w:lineRule="auto"/>
      </w:pPr>
      <w:r>
        <w:rPr>
          <w:rFonts w:eastAsia="georgia" w:cs="georgia" w:ascii="georgia" w:hAnsi="georgia"/>
          <w:b/>
          <w:color w:val="000000"/>
        </w:rPr>
        <w:t xml:space="preserve">AI Relevance:</w:t>
      </w:r>
      <w:r>
        <w:rPr>
          <w:rFonts w:eastAsia="georgia" w:cs="georgia" w:ascii="georgia" w:hAnsi="georgia"/>
          <w:color w:val="000000"/>
        </w:rPr>
        <w:t xml:space="preserve"> VOLTS create an economic incentive layer that aligns AI agent behavior with human cognitive growth rather than engagement maximization — the first tokenomic design explicitly engineered to prevent AI from optimizing against human development.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9" w:name="jewel_6_qtac₇_seven_dimensional_c_431f31"/>
      <w:r>
        <w:rPr>
          <w:rFonts w:eastAsia="georgia" w:cs="georgia" w:ascii="georgia" w:hAnsi="georgia"/>
          <w:b/>
          <w:color w:val="000000"/>
          <w:sz w:val="24"/>
        </w:rPr>
        <w:t xml:space="preserve">Jewel 6 — QTAC₇: Seven-Dimensional Cognitive Scoring</w:t>
      </w:r>
      <w:bookmarkEnd w:id="9"/>
    </w:p>
    <w:p>
      <w:pPr>
        <w:spacing w:line="360" w:after="210" w:lineRule="auto"/>
      </w:pPr>
      <w:r>
        <w:rPr>
          <w:rFonts w:eastAsia="georgia" w:cs="georgia" w:ascii="georgia" w:hAnsi="georgia"/>
          <w:color w:val="000000"/>
        </w:rPr>
        <w:t xml:space="preserve">From: ARCHON Ψ GitHub repository and product architecture[^2]</w:t>
      </w:r>
    </w:p>
    <w:p>
      <w:pPr>
        <w:spacing w:line="360" w:after="210" w:lineRule="auto"/>
      </w:pPr>
      <w:r>
        <w:rPr>
          <w:rFonts w:eastAsia="georgia" w:cs="georgia" w:ascii="georgia" w:hAnsi="georgia"/>
          <w:color w:val="000000"/>
        </w:rPr>
        <w:t xml:space="preserve">QTAC₇ is a seven-dimensional scoring rubric for human cognitive capital. Dimensions weight differently across audience segments (athletes, researchers, founders, clinicians), with interactive QTAC₇ charts rendering only when evidence thresholds are met — making the product </w:t>
      </w:r>
      <w:r>
        <w:rPr>
          <w:rFonts w:eastAsia="georgia" w:cs="georgia" w:ascii="georgia" w:hAnsi="georgia"/>
          <w:i/>
          <w:color w:val="000000"/>
        </w:rPr>
        <w:t xml:space="preserve">governable and falsifiable</w:t>
      </w:r>
      <w:r>
        <w:rPr>
          <w:rFonts w:eastAsia="georgia" w:cs="georgia" w:ascii="georgia" w:hAnsi="georgia"/>
          <w:color w:val="000000"/>
        </w:rPr>
        <w:t xml:space="preserve"> rather than speculative. The seven dimensions map cognitive performance across temporal, structural, velocity, coherence, durability, translation, and sovereign axes.[^2]</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0" w:name="jewel_7_reality_lens_v2_5_layer_e_7507d4"/>
      <w:r>
        <w:rPr>
          <w:rFonts w:eastAsia="georgia" w:cs="georgia" w:ascii="georgia" w:hAnsi="georgia"/>
          <w:b/>
          <w:color w:val="000000"/>
          <w:sz w:val="24"/>
        </w:rPr>
        <w:t xml:space="preserve">Jewel 7 — Reality Lens v2: 5-Layer Epistemic Filter</w:t>
      </w:r>
      <w:bookmarkEnd w:id="10"/>
    </w:p>
    <w:p>
      <w:pPr>
        <w:spacing w:line="360" w:after="210" w:lineRule="auto"/>
      </w:pPr>
      <w:r>
        <w:rPr>
          <w:rFonts w:eastAsia="georgia" w:cs="georgia" w:ascii="georgia" w:hAnsi="georgia"/>
          <w:color w:val="000000"/>
        </w:rPr>
        <w:t xml:space="preserve">From: Internal architecture documentation and published reasoning[^10]</w:t>
      </w:r>
    </w:p>
    <w:p>
      <w:pPr>
        <w:spacing w:line="360" w:after="210" w:lineRule="auto"/>
      </w:pPr>
      <w:r>
        <w:rPr>
          <w:rFonts w:eastAsia="georgia" w:cs="georgia" w:ascii="georgia" w:hAnsi="georgia"/>
          <w:color w:val="000000"/>
        </w:rPr>
        <w:t xml:space="preserve">Reality Lens is a 5-layer synthesis and scoring filter with explicit epistemic architecture:</w:t>
      </w:r>
    </w:p>
    <w:p>
      <w:pPr>
        <w:numPr>
          <w:ilvl w:val="0"/>
          <w:numId w:val="1"/>
        </w:numPr>
        <w:spacing w:line="360" w:before="105" w:after="105" w:lineRule="auto"/>
      </w:pPr>
      <w:r>
        <w:rPr>
          <w:rFonts w:eastAsia="georgia" w:cs="georgia" w:ascii="georgia" w:hAnsi="georgia"/>
          <w:b/>
          <w:color w:val="000000"/>
          <w:sz w:val="21"/>
        </w:rPr>
        <w:t xml:space="preserve">Identity</w:t>
      </w:r>
      <w:r>
        <w:rPr>
          <w:rFonts w:eastAsia="georgia" w:cs="georgia" w:ascii="georgia" w:hAnsi="georgia"/>
          <w:color w:val="000000"/>
          <w:sz w:val="21"/>
        </w:rPr>
        <w:t xml:space="preserve"> — entity resolution gate (runs before any analysis)</w:t>
      </w:r>
    </w:p>
    <w:p>
      <w:pPr>
        <w:numPr>
          <w:ilvl w:val="0"/>
          <w:numId w:val="1"/>
        </w:numPr>
        <w:spacing w:line="360" w:before="105" w:after="105" w:lineRule="auto"/>
      </w:pPr>
      <w:r>
        <w:rPr>
          <w:rFonts w:eastAsia="georgia" w:cs="georgia" w:ascii="georgia" w:hAnsi="georgia"/>
          <w:b/>
          <w:color w:val="000000"/>
          <w:sz w:val="21"/>
        </w:rPr>
        <w:t xml:space="preserve">Anatomy</w:t>
      </w:r>
      <w:r>
        <w:rPr>
          <w:rFonts w:eastAsia="georgia" w:cs="georgia" w:ascii="georgia" w:hAnsi="georgia"/>
          <w:color w:val="000000"/>
          <w:sz w:val="21"/>
        </w:rPr>
        <w:t xml:space="preserve"> — structural decomposition of claims</w:t>
      </w:r>
    </w:p>
    <w:p>
      <w:pPr>
        <w:numPr>
          <w:ilvl w:val="0"/>
          <w:numId w:val="1"/>
        </w:numPr>
        <w:spacing w:line="360" w:before="105" w:after="105" w:lineRule="auto"/>
      </w:pPr>
      <w:r>
        <w:rPr>
          <w:rFonts w:eastAsia="georgia" w:cs="georgia" w:ascii="georgia" w:hAnsi="georgia"/>
          <w:b/>
          <w:color w:val="000000"/>
          <w:sz w:val="21"/>
        </w:rPr>
        <w:t xml:space="preserve">Process</w:t>
      </w:r>
      <w:r>
        <w:rPr>
          <w:rFonts w:eastAsia="georgia" w:cs="georgia" w:ascii="georgia" w:hAnsi="georgia"/>
          <w:color w:val="000000"/>
          <w:sz w:val="21"/>
        </w:rPr>
        <w:t xml:space="preserve"> — operational mechanics verification</w:t>
      </w:r>
    </w:p>
    <w:p>
      <w:pPr>
        <w:numPr>
          <w:ilvl w:val="0"/>
          <w:numId w:val="1"/>
        </w:numPr>
        <w:spacing w:line="360" w:before="105" w:after="105" w:lineRule="auto"/>
      </w:pPr>
      <w:r>
        <w:rPr>
          <w:rFonts w:eastAsia="georgia" w:cs="georgia" w:ascii="georgia" w:hAnsi="georgia"/>
          <w:b/>
          <w:color w:val="000000"/>
          <w:sz w:val="21"/>
        </w:rPr>
        <w:t xml:space="preserve">Economics</w:t>
      </w:r>
      <w:r>
        <w:rPr>
          <w:rFonts w:eastAsia="georgia" w:cs="georgia" w:ascii="georgia" w:hAnsi="georgia"/>
          <w:color w:val="000000"/>
          <w:sz w:val="21"/>
        </w:rPr>
        <w:t xml:space="preserve"> — financial and incentive structure validation</w:t>
      </w:r>
    </w:p>
    <w:p>
      <w:pPr>
        <w:numPr>
          <w:ilvl w:val="0"/>
          <w:numId w:val="1"/>
        </w:numPr>
        <w:spacing w:line="360" w:before="105" w:after="105" w:lineRule="auto"/>
      </w:pPr>
      <w:r>
        <w:rPr>
          <w:rFonts w:eastAsia="georgia" w:cs="georgia" w:ascii="georgia" w:hAnsi="georgia"/>
          <w:b/>
          <w:color w:val="000000"/>
          <w:sz w:val="21"/>
        </w:rPr>
        <w:t xml:space="preserve">Ecosystem</w:t>
      </w:r>
      <w:r>
        <w:rPr>
          <w:rFonts w:eastAsia="georgia" w:cs="georgia" w:ascii="georgia" w:hAnsi="georgia"/>
          <w:color w:val="000000"/>
          <w:sz w:val="21"/>
        </w:rPr>
        <w:t xml:space="preserve"> — market context and dependency mapping</w:t>
      </w:r>
    </w:p>
    <w:p>
      <w:pPr>
        <w:spacing w:line="360" w:after="210" w:lineRule="auto"/>
      </w:pPr>
      <w:r>
        <w:rPr>
          <w:rFonts w:eastAsia="georgia" w:cs="georgia" w:ascii="georgia" w:hAnsi="georgia"/>
          <w:color w:val="000000"/>
        </w:rPr>
        <w:t xml:space="preserve">v2 introduced claim typing: </w:t>
      </w:r>
      <w:r>
        <w:rPr>
          <w:rFonts w:eastAsia="georgia" w:cs="georgia" w:ascii="georgia" w:hAnsi="georgia"/>
          <w:i/>
          <w:color w:val="000000"/>
        </w:rPr>
        <w:t xml:space="preserve">verified_fact, strong_inference, weak_inference, unknown, conflicted</w:t>
      </w:r>
      <w:r>
        <w:rPr>
          <w:rFonts w:eastAsia="georgia" w:cs="georgia" w:ascii="georgia" w:hAnsi="georgia"/>
          <w:color w:val="000000"/>
        </w:rPr>
        <w:t xml:space="preserve"> — with dual scoring (substance_score + confidence_score) and mandatory red-team contradiction pass. The design principle: ARCHON Ψ scoring renders </w:t>
      </w:r>
      <w:r>
        <w:rPr>
          <w:rFonts w:eastAsia="georgia" w:cs="georgia" w:ascii="georgia" w:hAnsi="georgia"/>
          <w:i/>
          <w:color w:val="000000"/>
        </w:rPr>
        <w:t xml:space="preserve">only when evidence thresholds are met</w:t>
      </w:r>
      <w:r>
        <w:rPr>
          <w:rFonts w:eastAsia="georgia" w:cs="georgia" w:ascii="georgia" w:hAnsi="georgia"/>
          <w:color w:val="000000"/>
        </w:rPr>
        <w:t xml:space="preserve">, making every output carry provenance and auditability.</w:t>
      </w:r>
    </w:p>
    <w:p>
      <w:pPr>
        <w:spacing w:line="360" w:after="210" w:lineRule="auto"/>
      </w:pPr>
      <w:r>
        <w:rPr>
          <w:rFonts w:eastAsia="georgia" w:cs="georgia" w:ascii="georgia" w:hAnsi="georgia"/>
          <w:b/>
          <w:color w:val="000000"/>
        </w:rPr>
        <w:t xml:space="preserve">AI Relevance:</w:t>
      </w:r>
      <w:r>
        <w:rPr>
          <w:rFonts w:eastAsia="georgia" w:cs="georgia" w:ascii="georgia" w:hAnsi="georgia"/>
          <w:color w:val="000000"/>
        </w:rPr>
        <w:t xml:space="preserve"> Reality Lens v2 solves the hallucination governance problem from a scoring perspective — it is the kill switch that prevents phantom capital builds in the AI agent ecosystem.[^10]</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1" w:name="jewel_8_portalogics_neural_feedba_cef351"/>
      <w:r>
        <w:rPr>
          <w:rFonts w:eastAsia="georgia" w:cs="georgia" w:ascii="georgia" w:hAnsi="georgia"/>
          <w:b/>
          <w:color w:val="000000"/>
          <w:sz w:val="24"/>
        </w:rPr>
        <w:t xml:space="preserve">Jewel 8 — Portalogics: Neural Feedback as Recommendation Signal</w:t>
      </w:r>
      <w:bookmarkEnd w:id="11"/>
    </w:p>
    <w:p>
      <w:pPr>
        <w:spacing w:line="360" w:after="210" w:lineRule="auto"/>
      </w:pPr>
      <w:r>
        <w:rPr>
          <w:rFonts w:eastAsia="georgia" w:cs="georgia" w:ascii="georgia" w:hAnsi="georgia"/>
          <w:color w:val="000000"/>
        </w:rPr>
        <w:t xml:space="preserve">Published in: </w:t>
      </w:r>
      <w:r>
        <w:rPr>
          <w:rFonts w:eastAsia="georgia" w:cs="georgia" w:ascii="georgia" w:hAnsi="georgia"/>
          <w:i/>
          <w:color w:val="000000"/>
        </w:rPr>
        <w:t xml:space="preserve">Beyond the Algorithm</w:t>
      </w:r>
      <w:r>
        <w:rPr>
          <w:rFonts w:eastAsia="georgia" w:cs="georgia" w:ascii="georgia" w:hAnsi="georgia"/>
          <w:color w:val="000000"/>
        </w:rPr>
        <w:t xml:space="preserve">[^4]</w:t>
      </w:r>
    </w:p>
    <w:p>
      <w:pPr>
        <w:spacing w:line="360" w:after="210" w:lineRule="auto"/>
      </w:pPr>
      <w:r>
        <w:rPr>
          <w:rFonts w:eastAsia="georgia" w:cs="georgia" w:ascii="georgia" w:hAnsi="georgia"/>
          <w:color w:val="000000"/>
        </w:rPr>
        <w:t xml:space="preserve">The essay introduces three protocol classes — </w:t>
      </w:r>
      <w:r>
        <w:rPr>
          <w:rFonts w:eastAsia="georgia" w:cs="georgia" w:ascii="georgia" w:hAnsi="georgia"/>
          <w:b/>
          <w:color w:val="000000"/>
        </w:rPr>
        <w:t xml:space="preserve">InsightDive</w:t>
      </w:r>
      <w:r>
        <w:rPr>
          <w:rFonts w:eastAsia="georgia" w:cs="georgia" w:ascii="georgia" w:hAnsi="georgia"/>
          <w:color w:val="000000"/>
        </w:rPr>
        <w:t xml:space="preserve"> (spending intellectual data credits to access deep knowledge), </w:t>
      </w:r>
      <w:r>
        <w:rPr>
          <w:rFonts w:eastAsia="georgia" w:cs="georgia" w:ascii="georgia" w:hAnsi="georgia"/>
          <w:b/>
          <w:color w:val="000000"/>
        </w:rPr>
        <w:t xml:space="preserve">ThoughtAmp</w:t>
      </w:r>
      <w:r>
        <w:rPr>
          <w:rFonts w:eastAsia="georgia" w:cs="georgia" w:ascii="georgia" w:hAnsi="georgia"/>
          <w:color w:val="000000"/>
        </w:rPr>
        <w:t xml:space="preserve"> (authors investing insights to maximize reach via AI-optimized delivery), and </w:t>
      </w:r>
      <w:r>
        <w:rPr>
          <w:rFonts w:eastAsia="georgia" w:cs="georgia" w:ascii="georgia" w:hAnsi="georgia"/>
          <w:b/>
          <w:color w:val="000000"/>
        </w:rPr>
        <w:t xml:space="preserve">KnowledgePath</w:t>
      </w:r>
      <w:r>
        <w:rPr>
          <w:rFonts w:eastAsia="georgia" w:cs="georgia" w:ascii="georgia" w:hAnsi="georgia"/>
          <w:color w:val="000000"/>
        </w:rPr>
        <w:t xml:space="preserve"> (personalized adaptive learning paths monitored via neuro-feedback). Together these constitute the first published framework for a reading economy built on cognitive impact rather than attention — a direct challenge to the $500B+ ad-attention economy.[^4]</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2" w:name="jewel_9_the_hines_constants"/>
      <w:r>
        <w:rPr>
          <w:rFonts w:eastAsia="georgia" w:cs="georgia" w:ascii="georgia" w:hAnsi="georgia"/>
          <w:b/>
          <w:color w:val="000000"/>
          <w:sz w:val="24"/>
        </w:rPr>
        <w:t xml:space="preserve">Jewel 9 — The Hines Constants</w:t>
      </w:r>
      <w:bookmarkEnd w:id="12"/>
    </w:p>
    <w:p>
      <w:pPr>
        <w:spacing w:line="360" w:after="210" w:lineRule="auto"/>
      </w:pPr>
      <w:r>
        <w:rPr>
          <w:rFonts w:eastAsia="georgia" w:cs="georgia" w:ascii="georgia" w:hAnsi="georgia"/>
          <w:color w:val="000000"/>
        </w:rPr>
        <w:t xml:space="preserve">From: </w:t>
      </w:r>
      <w:r>
        <w:rPr>
          <w:rFonts w:eastAsia="georgia" w:cs="georgia" w:ascii="georgia" w:hAnsi="georgia"/>
          <w:i/>
          <w:color w:val="000000"/>
        </w:rPr>
        <w:t xml:space="preserve">Professor Clay's Studiolo: Neural Capitalism</w:t>
      </w:r>
      <w:r>
        <w:rPr>
          <w:rFonts w:eastAsia="georgia" w:cs="georgia" w:ascii="georgia" w:hAnsi="georgia"/>
          <w:color w:val="000000"/>
        </w:rPr>
        <w:t xml:space="preserve"> video and social documentation[^13]</w:t>
      </w:r>
    </w:p>
    <w:p>
      <w:pPr>
        <w:spacing w:line="360" w:after="210" w:lineRule="auto"/>
      </w:pPr>
      <w:r>
        <w:rPr>
          <w:rFonts w:eastAsia="georgia" w:cs="georgia" w:ascii="georgia" w:hAnsi="georgia"/>
          <w:color w:val="000000"/>
        </w:rPr>
        <w:t xml:space="preserve">A set of proprietary maxims that function as formalized behavioral laws within the ARCHON framework:</w:t>
      </w:r>
    </w:p>
    <w:p>
      <w:pPr>
        <w:numPr>
          <w:ilvl w:val="0"/>
          <w:numId w:val="2"/>
        </w:numPr>
        <w:spacing w:line="360" w:before="105" w:after="105" w:lineRule="auto"/>
      </w:pPr>
      <w:r>
        <w:rPr>
          <w:rFonts w:eastAsia="georgia" w:cs="georgia" w:ascii="georgia" w:hAnsi="georgia"/>
          <w:b/>
          <w:color w:val="000000"/>
          <w:sz w:val="21"/>
        </w:rPr>
        <w:t xml:space="preserve">Cognitive Velocity:</w:t>
      </w:r>
      <w:r>
        <w:rPr>
          <w:rFonts w:eastAsia="georgia" w:cs="georgia" w:ascii="georgia" w:hAnsi="georgia"/>
          <w:color w:val="000000"/>
          <w:sz w:val="21"/>
        </w:rPr>
        <w:t xml:space="preserve"> "It's not how much you know; it's how fast you can decide without breaking."</w:t>
      </w:r>
    </w:p>
    <w:p>
      <w:pPr>
        <w:numPr>
          <w:ilvl w:val="0"/>
          <w:numId w:val="2"/>
        </w:numPr>
        <w:spacing w:line="360" w:before="105" w:after="105" w:lineRule="auto"/>
      </w:pPr>
      <w:r>
        <w:rPr>
          <w:rFonts w:eastAsia="georgia" w:cs="georgia" w:ascii="georgia" w:hAnsi="georgia"/>
          <w:b/>
          <w:color w:val="000000"/>
          <w:sz w:val="21"/>
        </w:rPr>
        <w:t xml:space="preserve">The Hines Constant:</w:t>
      </w:r>
      <w:r>
        <w:rPr>
          <w:rFonts w:eastAsia="georgia" w:cs="georgia" w:ascii="georgia" w:hAnsi="georgia"/>
          <w:color w:val="000000"/>
          <w:sz w:val="21"/>
        </w:rPr>
        <w:t xml:space="preserve"> "The speed of your growth is limited by the friction of your internal doubt."</w:t>
      </w:r>
    </w:p>
    <w:p>
      <w:pPr>
        <w:numPr>
          <w:ilvl w:val="0"/>
          <w:numId w:val="2"/>
        </w:numPr>
        <w:spacing w:line="360" w:before="105" w:after="105" w:lineRule="auto"/>
      </w:pPr>
      <w:r>
        <w:rPr>
          <w:rFonts w:eastAsia="georgia" w:cs="georgia" w:ascii="georgia" w:hAnsi="georgia"/>
          <w:b/>
          <w:color w:val="000000"/>
          <w:sz w:val="21"/>
        </w:rPr>
        <w:t xml:space="preserve">Neural Liquidity:</w:t>
      </w:r>
      <w:r>
        <w:rPr>
          <w:rFonts w:eastAsia="georgia" w:cs="georgia" w:ascii="georgia" w:hAnsi="georgia"/>
          <w:color w:val="000000"/>
          <w:sz w:val="21"/>
        </w:rPr>
        <w:t xml:space="preserve"> "Your brain is a bank. Are you depositing insights or withdrawing fatigue?"</w:t>
      </w:r>
    </w:p>
    <w:p>
      <w:pPr>
        <w:numPr>
          <w:ilvl w:val="0"/>
          <w:numId w:val="2"/>
        </w:numPr>
        <w:spacing w:line="360" w:before="105" w:after="105" w:lineRule="auto"/>
      </w:pPr>
      <w:r>
        <w:rPr>
          <w:rFonts w:eastAsia="georgia" w:cs="georgia" w:ascii="georgia" w:hAnsi="georgia"/>
          <w:b/>
          <w:color w:val="000000"/>
          <w:sz w:val="21"/>
        </w:rPr>
        <w:t xml:space="preserve">The 50ms Advantage:</w:t>
      </w:r>
      <w:r>
        <w:rPr>
          <w:rFonts w:eastAsia="georgia" w:cs="georgia" w:ascii="georgia" w:hAnsi="georgia"/>
          <w:color w:val="000000"/>
          <w:sz w:val="21"/>
        </w:rPr>
        <w:t xml:space="preserve"> "In the age of AI, the person who decodes reality 50ms faster wins the decade."</w:t>
      </w:r>
    </w:p>
    <w:p>
      <w:pPr>
        <w:numPr>
          <w:ilvl w:val="0"/>
          <w:numId w:val="2"/>
        </w:numPr>
        <w:spacing w:line="360" w:before="105" w:after="105" w:lineRule="auto"/>
      </w:pPr>
      <w:r>
        <w:rPr>
          <w:rFonts w:eastAsia="georgia" w:cs="georgia" w:ascii="georgia" w:hAnsi="georgia"/>
          <w:b/>
          <w:color w:val="000000"/>
          <w:sz w:val="21"/>
        </w:rPr>
        <w:t xml:space="preserve">The Synthetic Intelligence:</w:t>
      </w:r>
      <w:r>
        <w:rPr>
          <w:rFonts w:eastAsia="georgia" w:cs="georgia" w:ascii="georgia" w:hAnsi="georgia"/>
          <w:color w:val="000000"/>
          <w:sz w:val="21"/>
        </w:rPr>
        <w:t xml:space="preserve"> "We aren't replacing the brain; we are giving it a high-performance exoskeleton."[^13]</w:t>
      </w:r>
    </w:p>
    <w:p>
      <w:pPr>
        <w:spacing w:line="360" w:after="210" w:lineRule="auto"/>
      </w:pPr>
      <w:r>
        <w:rPr>
          <w:rFonts w:eastAsia="georgia" w:cs="georgia" w:ascii="georgia" w:hAnsi="georgia"/>
          <w:color w:val="000000"/>
        </w:rPr>
        <w:t xml:space="preserve">These constants are more than rhetoric — they are the behavioral axioms that ARCHON's scoring architecture validates against empirically.</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3" w:name="part_ii_the_investor_introduction_script"/>
      <w:r>
        <w:rPr>
          <w:rFonts w:eastAsia="georgia" w:cs="georgia" w:ascii="georgia" w:hAnsi="georgia"/>
          <w:b/>
          <w:color w:val="000000"/>
          <w:sz w:val="24"/>
        </w:rPr>
        <w:t xml:space="preserve">Part II — The Investor Introduction Script</w:t>
      </w:r>
      <w:bookmarkEnd w:id="13"/>
    </w:p>
    <w:p>
      <w:pPr>
        <w:spacing w:line="360" w:before="315" w:after="105" w:lineRule="auto"/>
        <w:ind w:left="-30"/>
        <w:jc w:val="left"/>
      </w:pPr>
      <w:bookmarkStart w:id="14" w:name="a_narrated_pov_walkthrough_of_archon_ψ"/>
      <w:r>
        <w:rPr>
          <w:rFonts w:eastAsia="georgia" w:cs="georgia" w:ascii="georgia" w:hAnsi="georgia"/>
          <w:b/>
          <w:color w:val="000000"/>
          <w:sz w:val="24"/>
        </w:rPr>
        <w:t xml:space="preserve">A Narrated POV Walkthrough of ARCHON Ψ</w:t>
      </w:r>
      <w:bookmarkEnd w:id="14"/>
    </w:p>
    <w:p>
      <w:pPr>
        <w:spacing w:line="360" w:after="210" w:lineRule="auto"/>
      </w:pPr>
      <w:r>
        <w:rPr>
          <w:rFonts w:eastAsia="georgia" w:cs="georgia" w:ascii="georgia" w:hAnsi="georgia"/>
          <w:i/>
          <w:color w:val="000000"/>
        </w:rPr>
        <w:t xml:space="preserve">Format: Founder-to-Investor. Direct. No filler. Written as if delivered live on stage or in a partner meeting. Running time: approximately 6 minutes spoken.</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[OPEN — PROBLEM FRAME]</w:t>
      </w:r>
    </w:p>
    <w:p>
      <w:pPr>
        <w:spacing w:line="360" w:after="210" w:lineRule="auto"/>
      </w:pPr>
      <w:r>
        <w:rPr>
          <w:rFonts w:eastAsia="georgia" w:cs="georgia" w:ascii="georgia" w:hAnsi="georgia"/>
          <w:color w:val="000000"/>
        </w:rPr>
        <w:t xml:space="preserve">"Right now, you are about to write a check — or not — based on a pitch deck, a reference call, and your read of the room. You have no instrument. Nothing that tells you whether the person asking for capital has the cognitive architecture to execute the plan they've described. You're calibrating risk on narrative.</w:t>
      </w:r>
    </w:p>
    <w:p>
      <w:pPr>
        <w:spacing w:line="360" w:after="210" w:lineRule="auto"/>
      </w:pPr>
      <w:r>
        <w:rPr>
          <w:rFonts w:eastAsia="georgia" w:cs="georgia" w:ascii="georgia" w:hAnsi="georgia"/>
          <w:color w:val="000000"/>
        </w:rPr>
        <w:t xml:space="preserve">That's not your fault. That instrument doesn't exist. Until now.</w:t>
      </w:r>
    </w:p>
    <w:p>
      <w:pPr>
        <w:spacing w:line="360" w:after="210" w:lineRule="auto"/>
      </w:pPr>
      <w:r>
        <w:rPr>
          <w:rFonts w:eastAsia="georgia" w:cs="georgia" w:ascii="georgia" w:hAnsi="georgia"/>
          <w:color w:val="000000"/>
        </w:rPr>
        <w:t xml:space="preserve">My name is Brandon Hines. I'm the Sovereign Architect of CortexChain, Inc. — and I built ARCHON Ψ because I was tired of human capital being the single largest unpriced risk in every deal."</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[ACT I — WHAT IS ARCHON Ψ]</w:t>
      </w:r>
    </w:p>
    <w:p>
      <w:pPr>
        <w:spacing w:line="360" w:after="210" w:lineRule="auto"/>
      </w:pPr>
      <w:r>
        <w:rPr>
          <w:rFonts w:eastAsia="georgia" w:cs="georgia" w:ascii="georgia" w:hAnsi="georgia"/>
          <w:color w:val="000000"/>
        </w:rPr>
        <w:t xml:space="preserve">"ARCHON Ψ is a cognitive measurement engine. It is not a personality test, not a psychometric battery, not an engagement score. It is infrastructure — the kind that sits underneath every consequential decision about human capital: hiring, funding, partnership, deployment.</w:t>
      </w:r>
    </w:p>
    <w:p>
      <w:pPr>
        <w:spacing w:line="360" w:after="210" w:lineRule="auto"/>
      </w:pPr>
      <w:r>
        <w:rPr>
          <w:rFonts w:eastAsia="georgia" w:cs="georgia" w:ascii="georgia" w:hAnsi="georgia"/>
          <w:color w:val="000000"/>
        </w:rPr>
        <w:t xml:space="preserve">The instrument scores on seven dimensions — QTAC₇. Each dimension captures a different axis of cognitive performance: how fast a subject processes under load, how coherent their output is over time, how durable their intellectual contributions are, how well they translate cognition into execution.</w:t>
      </w:r>
    </w:p>
    <w:p>
      <w:pPr>
        <w:spacing w:line="360" w:after="210" w:lineRule="auto"/>
      </w:pPr>
      <w:r>
        <w:rPr>
          <w:rFonts w:eastAsia="georgia" w:cs="georgia" w:ascii="georgia" w:hAnsi="georgia"/>
          <w:color w:val="000000"/>
        </w:rPr>
        <w:t xml:space="preserve">The output is a single sovereign score — the Ψ-score — with a provenance trail that shows every input, every weight, every inference. Not a black box. An auditable ledger.</w:t>
      </w:r>
    </w:p>
    <w:p>
      <w:pPr>
        <w:spacing w:line="360" w:after="210" w:lineRule="auto"/>
      </w:pPr>
      <w:r>
        <w:rPr>
          <w:rFonts w:eastAsia="georgia" w:cs="georgia" w:ascii="georgia" w:hAnsi="georgia"/>
          <w:color w:val="000000"/>
        </w:rPr>
        <w:t xml:space="preserve">ARCHON doesn't guess. ARCHON measures."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[ACT II — USER POV WALKTHROUGH]</w:t>
      </w:r>
    </w:p>
    <w:p>
      <w:pPr>
        <w:spacing w:line="360" w:after="210" w:lineRule="auto"/>
      </w:pPr>
      <w:r>
        <w:rPr>
          <w:rFonts w:eastAsia="georgia" w:cs="georgia" w:ascii="georgia" w:hAnsi="georgia"/>
          <w:i/>
          <w:color w:val="000000"/>
        </w:rPr>
        <w:t xml:space="preserve">"Let me walk you through what it looks like to use it."</w:t>
      </w:r>
    </w:p>
    <w:p>
      <w:pPr>
        <w:spacing w:line="360" w:after="210" w:lineRule="auto"/>
      </w:pPr>
      <w:r>
        <w:rPr>
          <w:rFonts w:eastAsia="georgia" w:cs="georgia" w:ascii="georgia" w:hAnsi="georgia"/>
          <w:color w:val="000000"/>
        </w:rPr>
        <w:t xml:space="preserve">"You're a Series B founder. Your lead investor has just told you they need a clearer picture of team risk before closing. They ask you to run ARCHON.</w:t>
      </w:r>
    </w:p>
    <w:p>
      <w:pPr>
        <w:spacing w:line="360" w:after="210" w:lineRule="auto"/>
      </w:pPr>
      <w:r>
        <w:rPr>
          <w:rFonts w:eastAsia="georgia" w:cs="georgia" w:ascii="georgia" w:hAnsi="georgia"/>
          <w:color w:val="000000"/>
        </w:rPr>
        <w:t xml:space="preserve">You log in. The interface presents a Cognitive Audit session. It has three entry modes: passive (behavioral telemetry from your existing workflow), active (structured cognitive tasks across QTAC₇ domains), and hybrid (real-time EEG via compatible BCI device — Emotiv or equivalent).</w:t>
      </w:r>
    </w:p>
    <w:p>
      <w:pPr>
        <w:spacing w:line="360" w:after="210" w:lineRule="auto"/>
      </w:pPr>
      <w:r>
        <w:rPr>
          <w:rFonts w:eastAsia="georgia" w:cs="georgia" w:ascii="georgia" w:hAnsi="georgia"/>
          <w:color w:val="000000"/>
        </w:rPr>
        <w:t xml:space="preserve">You choose hybrid. Over 22 minutes, ARCHON runs you through seven task classes — each one designed to stress a different dimension. Temporal processing under distraction. Structural decomposition of a novel argument. Velocity of decision under incomplete information. Coherence of reasoning across contradictory evidence.</w:t>
      </w:r>
    </w:p>
    <w:p>
      <w:pPr>
        <w:spacing w:line="360" w:after="210" w:lineRule="auto"/>
      </w:pPr>
      <w:r>
        <w:rPr>
          <w:rFonts w:eastAsia="georgia" w:cs="georgia" w:ascii="georgia" w:hAnsi="georgia"/>
          <w:color w:val="000000"/>
        </w:rPr>
        <w:t xml:space="preserve">The system is not testing IQ. It's mapping your cognitive </w:t>
      </w:r>
      <w:r>
        <w:rPr>
          <w:rFonts w:eastAsia="georgia" w:cs="georgia" w:ascii="georgia" w:hAnsi="georgia"/>
          <w:i/>
          <w:color w:val="000000"/>
        </w:rPr>
        <w:t xml:space="preserve">architecture</w:t>
      </w:r>
      <w:r>
        <w:rPr>
          <w:rFonts w:eastAsia="georgia" w:cs="georgia" w:ascii="georgia" w:hAnsi="georgia"/>
          <w:color w:val="000000"/>
        </w:rPr>
        <w:t xml:space="preserve"> — how your mind is built, not how much it knows.</w:t>
      </w:r>
    </w:p>
    <w:p>
      <w:pPr>
        <w:spacing w:line="360" w:after="210" w:lineRule="auto"/>
      </w:pPr>
      <w:r>
        <w:rPr>
          <w:rFonts w:eastAsia="georgia" w:cs="georgia" w:ascii="georgia" w:hAnsi="georgia"/>
          <w:color w:val="000000"/>
        </w:rPr>
        <w:t xml:space="preserve">Forty-eight hours later, you receive a Canon Block — a sealed, timestamped Ψ-report. It includes your QTAC₇ dimensional profile, a StoneScore for cognitive durability, an Omega-Gap flag if any dimension shows overclaim risk, and a HPBI-Psi index — your sovereign cognitive structure score.</w:t>
      </w:r>
    </w:p>
    <w:p>
      <w:pPr>
        <w:spacing w:line="360" w:after="210" w:lineRule="auto"/>
      </w:pPr>
      <w:r>
        <w:rPr>
          <w:rFonts w:eastAsia="georgia" w:cs="georgia" w:ascii="georgia" w:hAnsi="georgia"/>
          <w:color w:val="000000"/>
        </w:rPr>
        <w:t xml:space="preserve">Your investor opens it. For the first time, they're not reading a LinkedIn profile. They're reading a cognitive blueprint.</w:t>
      </w:r>
    </w:p>
    <w:p>
      <w:pPr>
        <w:spacing w:line="360" w:after="210" w:lineRule="auto"/>
      </w:pPr>
      <w:r>
        <w:rPr>
          <w:rFonts w:eastAsia="georgia" w:cs="georgia" w:ascii="georgia" w:hAnsi="georgia"/>
          <w:color w:val="000000"/>
        </w:rPr>
        <w:t xml:space="preserve">This is ARCHON."</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[ACT III — THE PRODUCT SUITE CONTEXT]</w:t>
      </w:r>
    </w:p>
    <w:p>
      <w:pPr>
        <w:spacing w:line="360" w:after="210" w:lineRule="auto"/>
      </w:pPr>
      <w:r>
        <w:rPr>
          <w:rFonts w:eastAsia="georgia" w:cs="georgia" w:ascii="georgia" w:hAnsi="georgia"/>
          <w:color w:val="000000"/>
        </w:rPr>
        <w:t xml:space="preserve">"ARCHON Ψ doesn't stand alone. It's the scoring engine inside a larger architecture — CortexChain, Inc.'s measurement infrastructure for human cognitive output.</w:t>
      </w:r>
    </w:p>
    <w:p>
      <w:pPr>
        <w:numPr>
          <w:ilvl w:val="0"/>
          <w:numId w:val="3"/>
        </w:numPr>
        <w:spacing w:line="360" w:before="105" w:after="105" w:lineRule="auto"/>
      </w:pPr>
      <w:r>
        <w:rPr>
          <w:rFonts w:eastAsia="georgia" w:cs="georgia" w:ascii="georgia" w:hAnsi="georgia"/>
          <w:b/>
          <w:color w:val="000000"/>
          <w:sz w:val="21"/>
        </w:rPr>
        <w:t xml:space="preserve">Factorizer</w:t>
      </w:r>
      <w:r>
        <w:rPr>
          <w:rFonts w:eastAsia="georgia" w:cs="georgia" w:ascii="georgia" w:hAnsi="georgia"/>
          <w:color w:val="000000"/>
          <w:sz w:val="21"/>
        </w:rPr>
        <w:t xml:space="preserve"> is the product intelligence layer — it scores markets, products, and competitive positioning the same way ARCHON scores people.[^14]</w:t>
      </w:r>
    </w:p>
    <w:p>
      <w:pPr>
        <w:numPr>
          <w:ilvl w:val="0"/>
          <w:numId w:val="3"/>
        </w:numPr>
        <w:spacing w:line="360" w:before="105" w:after="105" w:lineRule="auto"/>
      </w:pPr>
      <w:r>
        <w:rPr>
          <w:rFonts w:eastAsia="georgia" w:cs="georgia" w:ascii="georgia" w:hAnsi="georgia"/>
          <w:b/>
          <w:color w:val="000000"/>
          <w:sz w:val="21"/>
        </w:rPr>
        <w:t xml:space="preserve">Reality Lens</w:t>
      </w:r>
      <w:r>
        <w:rPr>
          <w:rFonts w:eastAsia="georgia" w:cs="georgia" w:ascii="georgia" w:hAnsi="georgia"/>
          <w:color w:val="000000"/>
          <w:sz w:val="21"/>
        </w:rPr>
        <w:t xml:space="preserve"> is the epistemic filter — it prevents AI systems from producing unchecked narrative by forcing every output through a 5-layer truth architecture with mandatory red-team pass.[^10]</w:t>
      </w:r>
    </w:p>
    <w:p>
      <w:pPr>
        <w:numPr>
          <w:ilvl w:val="0"/>
          <w:numId w:val="3"/>
        </w:numPr>
        <w:spacing w:line="360" w:before="105" w:after="105" w:lineRule="auto"/>
      </w:pPr>
      <w:r>
        <w:rPr>
          <w:rFonts w:eastAsia="georgia" w:cs="georgia" w:ascii="georgia" w:hAnsi="georgia"/>
          <w:b/>
          <w:color w:val="000000"/>
          <w:sz w:val="21"/>
        </w:rPr>
        <w:t xml:space="preserve">Constellation OS</w:t>
      </w:r>
      <w:r>
        <w:rPr>
          <w:rFonts w:eastAsia="georgia" w:cs="georgia" w:ascii="georgia" w:hAnsi="georgia"/>
          <w:color w:val="000000"/>
          <w:sz w:val="21"/>
        </w:rPr>
        <w:t xml:space="preserve"> is the agent orchestration hub — it routes ARCHON-scored human operators to the right AI agents based on their cognitive profile.</w:t>
      </w:r>
    </w:p>
    <w:p>
      <w:pPr>
        <w:numPr>
          <w:ilvl w:val="0"/>
          <w:numId w:val="3"/>
        </w:numPr>
        <w:spacing w:line="360" w:before="105" w:after="105" w:lineRule="auto"/>
      </w:pPr>
      <w:r>
        <w:rPr>
          <w:rFonts w:eastAsia="georgia" w:cs="georgia" w:ascii="georgia" w:hAnsi="georgia"/>
          <w:b/>
          <w:color w:val="000000"/>
          <w:sz w:val="21"/>
        </w:rPr>
        <w:t xml:space="preserve">ARCHON Ψ</w:t>
      </w:r>
      <w:r>
        <w:rPr>
          <w:rFonts w:eastAsia="georgia" w:cs="georgia" w:ascii="georgia" w:hAnsi="georgia"/>
          <w:color w:val="000000"/>
          <w:sz w:val="21"/>
        </w:rPr>
        <w:t xml:space="preserve"> is the measurement core — the instrument everything else plugs into.</w:t>
      </w:r>
    </w:p>
    <w:p>
      <w:pPr>
        <w:spacing w:line="360" w:after="210" w:lineRule="auto"/>
      </w:pPr>
      <w:r>
        <w:rPr>
          <w:rFonts w:eastAsia="georgia" w:cs="georgia" w:ascii="georgia" w:hAnsi="georgia"/>
          <w:color w:val="000000"/>
        </w:rPr>
        <w:t xml:space="preserve">Together, these form the first complete stack for making human-AI cognition legible to capital markets."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[ACT IV — THE BUSINESS CASE]</w:t>
      </w:r>
    </w:p>
    <w:p>
      <w:pPr>
        <w:spacing w:line="360" w:after="210" w:lineRule="auto"/>
      </w:pPr>
      <w:r>
        <w:rPr>
          <w:rFonts w:eastAsia="georgia" w:cs="georgia" w:ascii="georgia" w:hAnsi="georgia"/>
          <w:color w:val="000000"/>
        </w:rPr>
        <w:t xml:space="preserve">"Here's the market math.</w:t>
      </w:r>
    </w:p>
    <w:p>
      <w:pPr>
        <w:spacing w:line="360" w:after="210" w:lineRule="auto"/>
      </w:pPr>
      <w:r>
        <w:rPr>
          <w:rFonts w:eastAsia="georgia" w:cs="georgia" w:ascii="georgia" w:hAnsi="georgia"/>
          <w:color w:val="000000"/>
        </w:rPr>
        <w:t xml:space="preserve">Human Capital Management is a $26.9 billion market growing at 11% annually toward $50.2 billion by 2031. That market currently scores humans using 100-year-old instruments — MBTI, DISC, GPA, credentials. None of them are designed for AI-augmented environments.[^15]</w:t>
      </w:r>
    </w:p>
    <w:p>
      <w:pPr>
        <w:spacing w:line="360" w:after="210" w:lineRule="auto"/>
      </w:pPr>
      <w:r>
        <w:rPr>
          <w:rFonts w:eastAsia="georgia" w:cs="georgia" w:ascii="georgia" w:hAnsi="georgia"/>
          <w:color w:val="000000"/>
        </w:rPr>
        <w:t xml:space="preserve">The neurotechnology market sits at $15.3 billion today, projected to reach $52.9 billion by 2034. The AI market itself is at $390.9 billion in 2025, expected to hit $3.5 trillion by 2033. The Deloitte 2026 Global Human Capital Trends report states that companies who </w:t>
      </w:r>
      <w:r>
        <w:rPr>
          <w:rFonts w:eastAsia="georgia" w:cs="georgia" w:ascii="georgia" w:hAnsi="georgia"/>
          <w:i/>
          <w:color w:val="000000"/>
        </w:rPr>
        <w:t xml:space="preserve">intentionally design</w:t>
      </w:r>
      <w:r>
        <w:rPr>
          <w:rFonts w:eastAsia="georgia" w:cs="georgia" w:ascii="georgia" w:hAnsi="georgia"/>
          <w:color w:val="000000"/>
        </w:rPr>
        <w:t xml:space="preserve"> human-AI collaboration are twice as likely to exceed ROI targets. The bottleneck is measurement — no one has an instrument.[</w:t>
      </w:r>
      <w:r>
        <w:rPr>
          <w:rFonts w:eastAsia="georgia" w:cs="georgia" w:ascii="georgia" w:hAnsi="georgia"/>
          <w:color w:val="000000"/>
          <w:vertAlign w:val="superscript"/>
        </w:rPr>
        <w:t xml:space="preserve">16][</w:t>
      </w:r>
      <w:r>
        <w:rPr>
          <w:rFonts w:eastAsia="georgia" w:cs="georgia" w:ascii="georgia" w:hAnsi="georgia"/>
          <w:color w:val="000000"/>
        </w:rPr>
        <w:t xml:space="preserve">17][^18]</w:t>
      </w:r>
    </w:p>
    <w:p>
      <w:pPr>
        <w:spacing w:line="360" w:after="210" w:lineRule="auto"/>
      </w:pPr>
      <w:r>
        <w:rPr>
          <w:rFonts w:eastAsia="georgia" w:cs="georgia" w:ascii="georgia" w:hAnsi="georgia"/>
          <w:color w:val="000000"/>
        </w:rPr>
        <w:t xml:space="preserve">ARCHON Ψ is that instrument.</w:t>
      </w:r>
    </w:p>
    <w:p>
      <w:pPr>
        <w:spacing w:line="360" w:after="210" w:lineRule="auto"/>
      </w:pPr>
      <w:r>
        <w:rPr>
          <w:rFonts w:eastAsia="georgia" w:cs="georgia" w:ascii="georgia" w:hAnsi="georgia"/>
          <w:color w:val="000000"/>
        </w:rPr>
        <w:t xml:space="preserve">We are positioning at the intersection of three trillion-dollar markets — human capital, neurotechnology, and AI infrastructure — with a proprietary scoring protocol that has no direct comparable in the market. We are NVIDIA Inception members. We have two patent filings on Factorizer technology. ARCHON's measurement architecture is documented across published academic papers, whitepaper registrations, and a public GitHub repository.[</w:t>
      </w:r>
      <w:r>
        <w:rPr>
          <w:rFonts w:eastAsia="georgia" w:cs="georgia" w:ascii="georgia" w:hAnsi="georgia"/>
          <w:color w:val="000000"/>
          <w:vertAlign w:val="superscript"/>
        </w:rPr>
        <w:t xml:space="preserve">2][</w:t>
      </w:r>
      <w:r>
        <w:rPr>
          <w:rFonts w:eastAsia="georgia" w:cs="georgia" w:ascii="georgia" w:hAnsi="georgia"/>
          <w:color w:val="000000"/>
        </w:rPr>
        <w:t xml:space="preserve">3][^9]</w:t>
      </w:r>
    </w:p>
    <w:p>
      <w:pPr>
        <w:spacing w:line="360" w:after="210" w:lineRule="auto"/>
      </w:pPr>
      <w:r>
        <w:rPr>
          <w:rFonts w:eastAsia="georgia" w:cs="georgia" w:ascii="georgia" w:hAnsi="georgia"/>
          <w:color w:val="000000"/>
        </w:rPr>
        <w:t xml:space="preserve">We are pre-revenue, post-concept, and actively running the founder as the first fully instrumented subject — Brandon Hines 001-Psi — a transparent, verifiable proof of concept that this system works."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[CLOSE]</w:t>
      </w:r>
    </w:p>
    <w:p>
      <w:pPr>
        <w:spacing w:line="360" w:after="210" w:lineRule="auto"/>
      </w:pPr>
      <w:r>
        <w:rPr>
          <w:rFonts w:eastAsia="georgia" w:cs="georgia" w:ascii="georgia" w:hAnsi="georgia"/>
          <w:color w:val="000000"/>
        </w:rPr>
        <w:t xml:space="preserve">"Every investor in this room has made a bet on a person. The question isn't whether to bet on people — it's whether to bet blind or with an instrument.</w:t>
      </w:r>
    </w:p>
    <w:p>
      <w:pPr>
        <w:spacing w:line="360" w:after="210" w:lineRule="auto"/>
      </w:pPr>
      <w:r>
        <w:rPr>
          <w:rFonts w:eastAsia="georgia" w:cs="georgia" w:ascii="georgia" w:hAnsi="georgia"/>
          <w:color w:val="000000"/>
        </w:rPr>
        <w:t xml:space="preserve">ARCHON Ψ is the instrument.</w:t>
      </w:r>
    </w:p>
    <w:p>
      <w:pPr>
        <w:spacing w:line="360" w:after="210" w:lineRule="auto"/>
      </w:pPr>
      <w:r>
        <w:rPr>
          <w:rFonts w:eastAsia="georgia" w:cs="georgia" w:ascii="georgia" w:hAnsi="georgia"/>
          <w:color w:val="000000"/>
        </w:rPr>
        <w:t xml:space="preserve">I'm Brandon Hines. I built this because I needed it, and because the market hasn't built it yet. I'm here to close that gap."</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5" w:name="part_iii_honest_product_assessment"/>
      <w:r>
        <w:rPr>
          <w:rFonts w:eastAsia="georgia" w:cs="georgia" w:ascii="georgia" w:hAnsi="georgia"/>
          <w:b/>
          <w:color w:val="000000"/>
          <w:sz w:val="24"/>
        </w:rPr>
        <w:t xml:space="preserve">Part III — Honest Product Assessment</w:t>
      </w:r>
      <w:bookmarkEnd w:id="15"/>
    </w:p>
    <w:p>
      <w:pPr>
        <w:spacing w:line="360" w:before="315" w:after="105" w:lineRule="auto"/>
        <w:ind w:left="-30"/>
        <w:jc w:val="left"/>
      </w:pPr>
      <w:bookmarkStart w:id="16" w:name="benefits_limitations_and_what_inv_3f9ee6"/>
      <w:r>
        <w:rPr>
          <w:rFonts w:eastAsia="georgia" w:cs="georgia" w:ascii="georgia" w:hAnsi="georgia"/>
          <w:b/>
          <w:color w:val="000000"/>
          <w:sz w:val="24"/>
        </w:rPr>
        <w:t xml:space="preserve">Benefits, Limitations, and What Investors Surface in Due Diligence</w:t>
      </w:r>
      <w:bookmarkEnd w:id="16"/>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7" w:name="benefits_what_archon_ψ_does_well"/>
      <w:r>
        <w:rPr>
          <w:rFonts w:eastAsia="georgia" w:cs="georgia" w:ascii="georgia" w:hAnsi="georgia"/>
          <w:b/>
          <w:color w:val="000000"/>
          <w:sz w:val="24"/>
        </w:rPr>
        <w:t xml:space="preserve">Benefits — What ARCHON Ψ Does Well</w:t>
      </w:r>
      <w:bookmarkEnd w:id="17"/>
    </w:p>
    <w:p>
      <w:pPr>
        <w:spacing w:line="360" w:after="210" w:lineRule="auto"/>
      </w:pPr>
      <w:r>
        <w:rPr>
          <w:rFonts w:eastAsia="georgia" w:cs="georgia" w:ascii="georgia" w:hAnsi="georgia"/>
          <w:b/>
          <w:color w:val="000000"/>
        </w:rPr>
        <w:t xml:space="preserve">For Enterprises (Hiring, Team Risk, Succession Planning)</w:t>
      </w:r>
    </w:p>
    <w:p>
      <w:pPr>
        <w:numPr>
          <w:ilvl w:val="0"/>
          <w:numId w:val="4"/>
        </w:numPr>
        <w:spacing w:line="360" w:before="105" w:after="105" w:lineRule="auto"/>
      </w:pPr>
      <w:r>
        <w:rPr>
          <w:rFonts w:eastAsia="georgia" w:cs="georgia" w:ascii="georgia" w:hAnsi="georgia"/>
          <w:color w:val="000000"/>
          <w:sz w:val="21"/>
        </w:rPr>
        <w:t xml:space="preserve">Replaces subjective reference checks with an auditable, multi-dimensional cognitive profile</w:t>
      </w:r>
    </w:p>
    <w:p>
      <w:pPr>
        <w:numPr>
          <w:ilvl w:val="0"/>
          <w:numId w:val="4"/>
        </w:numPr>
        <w:spacing w:line="360" w:before="105" w:after="105" w:lineRule="auto"/>
      </w:pPr>
      <w:r>
        <w:rPr>
          <w:rFonts w:eastAsia="georgia" w:cs="georgia" w:ascii="georgia" w:hAnsi="georgia"/>
          <w:color w:val="000000"/>
          <w:sz w:val="21"/>
        </w:rPr>
        <w:t xml:space="preserve">Dimensional scoring (QTAC₇) allows targeted assessment — an athlete's profile weights differently than a researcher's or a founder's</w:t>
      </w:r>
    </w:p>
    <w:p>
      <w:pPr>
        <w:numPr>
          <w:ilvl w:val="0"/>
          <w:numId w:val="4"/>
        </w:numPr>
        <w:spacing w:line="360" w:before="105" w:after="105" w:lineRule="auto"/>
      </w:pPr>
      <w:r>
        <w:rPr>
          <w:rFonts w:eastAsia="georgia" w:cs="georgia" w:ascii="georgia" w:hAnsi="georgia"/>
          <w:color w:val="000000"/>
          <w:sz w:val="21"/>
        </w:rPr>
        <w:t xml:space="preserve">Reality Lens integration prevents AI-generated reports from hallucinating capability — every output carries provenance</w:t>
      </w:r>
    </w:p>
    <w:p>
      <w:pPr>
        <w:numPr>
          <w:ilvl w:val="0"/>
          <w:numId w:val="4"/>
        </w:numPr>
        <w:spacing w:line="360" w:before="105" w:after="105" w:lineRule="auto"/>
      </w:pPr>
      <w:r>
        <w:rPr>
          <w:rFonts w:eastAsia="georgia" w:cs="georgia" w:ascii="georgia" w:hAnsi="georgia"/>
          <w:color w:val="000000"/>
          <w:sz w:val="21"/>
        </w:rPr>
        <w:t xml:space="preserve">Canon Ledger creates a permanent, timestamped record of cognitive performance — portable across organizations and compoundable over time[^9]</w:t>
      </w:r>
    </w:p>
    <w:p>
      <w:pPr>
        <w:spacing w:line="360" w:after="210" w:lineRule="auto"/>
      </w:pPr>
      <w:r>
        <w:rPr>
          <w:rFonts w:eastAsia="georgia" w:cs="georgia" w:ascii="georgia" w:hAnsi="georgia"/>
          <w:b/>
          <w:color w:val="000000"/>
        </w:rPr>
        <w:t xml:space="preserve">For Investors</w:t>
      </w:r>
    </w:p>
    <w:p>
      <w:pPr>
        <w:numPr>
          <w:ilvl w:val="0"/>
          <w:numId w:val="5"/>
        </w:numPr>
        <w:spacing w:line="360" w:before="105" w:after="105" w:lineRule="auto"/>
      </w:pPr>
      <w:r>
        <w:rPr>
          <w:rFonts w:eastAsia="georgia" w:cs="georgia" w:ascii="georgia" w:hAnsi="georgia"/>
          <w:color w:val="000000"/>
          <w:sz w:val="21"/>
        </w:rPr>
        <w:t xml:space="preserve">Provides a pre-investment cognitive due diligence layer that no existing instrument offers</w:t>
      </w:r>
    </w:p>
    <w:p>
      <w:pPr>
        <w:numPr>
          <w:ilvl w:val="0"/>
          <w:numId w:val="5"/>
        </w:numPr>
        <w:spacing w:line="360" w:before="105" w:after="105" w:lineRule="auto"/>
      </w:pPr>
      <w:r>
        <w:rPr>
          <w:rFonts w:eastAsia="georgia" w:cs="georgia" w:ascii="georgia" w:hAnsi="georgia"/>
          <w:color w:val="000000"/>
          <w:sz w:val="21"/>
        </w:rPr>
        <w:t xml:space="preserve">Omega-Gap detection flags overclaim risk before capital deployment — a quantitative check on narrative inflation[^9]</w:t>
      </w:r>
    </w:p>
    <w:p>
      <w:pPr>
        <w:numPr>
          <w:ilvl w:val="0"/>
          <w:numId w:val="5"/>
        </w:numPr>
        <w:spacing w:line="360" w:before="105" w:after="105" w:lineRule="auto"/>
      </w:pPr>
      <w:r>
        <w:rPr>
          <w:rFonts w:eastAsia="georgia" w:cs="georgia" w:ascii="georgia" w:hAnsi="georgia"/>
          <w:color w:val="000000"/>
          <w:sz w:val="21"/>
        </w:rPr>
        <w:t xml:space="preserve">StoneScore durability metric separates short-cycle cognitive output from long-cycle intellectual assets[^9]</w:t>
      </w:r>
    </w:p>
    <w:p>
      <w:pPr>
        <w:numPr>
          <w:ilvl w:val="0"/>
          <w:numId w:val="5"/>
        </w:numPr>
        <w:spacing w:line="360" w:before="105" w:after="105" w:lineRule="auto"/>
      </w:pPr>
      <w:r>
        <w:rPr>
          <w:rFonts w:eastAsia="georgia" w:cs="georgia" w:ascii="georgia" w:hAnsi="georgia"/>
          <w:color w:val="000000"/>
          <w:sz w:val="21"/>
        </w:rPr>
        <w:t xml:space="preserve">HPBI-Psi indexes sovereign cognitive structure — the architecture of the individual's mind, not just their current performance</w:t>
      </w:r>
    </w:p>
    <w:p>
      <w:pPr>
        <w:spacing w:line="360" w:after="210" w:lineRule="auto"/>
      </w:pPr>
      <w:r>
        <w:rPr>
          <w:rFonts w:eastAsia="georgia" w:cs="georgia" w:ascii="georgia" w:hAnsi="georgia"/>
          <w:b/>
          <w:color w:val="000000"/>
        </w:rPr>
        <w:t xml:space="preserve">For Individual Knowledge Workers</w:t>
      </w:r>
    </w:p>
    <w:p>
      <w:pPr>
        <w:numPr>
          <w:ilvl w:val="0"/>
          <w:numId w:val="6"/>
        </w:numPr>
        <w:spacing w:line="360" w:before="105" w:after="105" w:lineRule="auto"/>
      </w:pPr>
      <w:r>
        <w:rPr>
          <w:rFonts w:eastAsia="georgia" w:cs="georgia" w:ascii="georgia" w:hAnsi="georgia"/>
          <w:color w:val="000000"/>
          <w:sz w:val="21"/>
        </w:rPr>
        <w:t xml:space="preserve">Portable, self-owned cognitive credential that travels across employers, platforms, and capital structures</w:t>
      </w:r>
    </w:p>
    <w:p>
      <w:pPr>
        <w:numPr>
          <w:ilvl w:val="0"/>
          <w:numId w:val="6"/>
        </w:numPr>
        <w:spacing w:line="360" w:before="105" w:after="105" w:lineRule="auto"/>
      </w:pPr>
      <w:r>
        <w:rPr>
          <w:rFonts w:eastAsia="georgia" w:cs="georgia" w:ascii="georgia" w:hAnsi="georgia"/>
          <w:color w:val="000000"/>
          <w:sz w:val="21"/>
        </w:rPr>
        <w:t xml:space="preserve">VOLTS tokenomics reward cognitive growth, not time-on-task — incentivizing genuine development over credential accumulation[^11]</w:t>
      </w:r>
    </w:p>
    <w:p>
      <w:pPr>
        <w:numPr>
          <w:ilvl w:val="0"/>
          <w:numId w:val="6"/>
        </w:numPr>
        <w:spacing w:line="360" w:before="105" w:after="105" w:lineRule="auto"/>
      </w:pPr>
      <w:r>
        <w:rPr>
          <w:rFonts w:eastAsia="georgia" w:cs="georgia" w:ascii="georgia" w:hAnsi="georgia"/>
          <w:color w:val="000000"/>
          <w:sz w:val="21"/>
        </w:rPr>
        <w:t xml:space="preserve">Real-time neurofeedback loop (via BCI integration) closes the gap between effort and insight — users can see and improve their own coherence trajectory</w:t>
      </w:r>
    </w:p>
    <w:p>
      <w:pPr>
        <w:spacing w:line="360" w:after="210" w:lineRule="auto"/>
      </w:pPr>
      <w:r>
        <w:rPr>
          <w:rFonts w:eastAsia="georgia" w:cs="georgia" w:ascii="georgia" w:hAnsi="georgia"/>
          <w:b/>
          <w:color w:val="000000"/>
        </w:rPr>
        <w:t xml:space="preserve">For AI Developers</w:t>
      </w:r>
    </w:p>
    <w:p>
      <w:pPr>
        <w:numPr>
          <w:ilvl w:val="0"/>
          <w:numId w:val="7"/>
        </w:numPr>
        <w:spacing w:line="360" w:before="105" w:after="105" w:lineRule="auto"/>
      </w:pPr>
      <w:r>
        <w:rPr>
          <w:rFonts w:eastAsia="georgia" w:cs="georgia" w:ascii="georgia" w:hAnsi="georgia"/>
          <w:color w:val="000000"/>
          <w:sz w:val="21"/>
        </w:rPr>
        <w:t xml:space="preserve">Provides ground-truth human cognitive state data for training AI systems to augment (rather than replace) human judgment</w:t>
      </w:r>
    </w:p>
    <w:p>
      <w:pPr>
        <w:numPr>
          <w:ilvl w:val="0"/>
          <w:numId w:val="7"/>
        </w:numPr>
        <w:spacing w:line="360" w:before="105" w:after="105" w:lineRule="auto"/>
      </w:pPr>
      <w:r>
        <w:rPr>
          <w:rFonts w:eastAsia="georgia" w:cs="georgia" w:ascii="georgia" w:hAnsi="georgia"/>
          <w:color w:val="000000"/>
          <w:sz w:val="21"/>
        </w:rPr>
        <w:t xml:space="preserve">ARCHON-scored operators can be matched to AI agents based on cognitive compatibility — a new paradigm for human-AI orchestration</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8" w:name="limitations_the_honest_case_against"/>
      <w:r>
        <w:rPr>
          <w:rFonts w:eastAsia="georgia" w:cs="georgia" w:ascii="georgia" w:hAnsi="georgia"/>
          <w:b/>
          <w:color w:val="000000"/>
          <w:sz w:val="24"/>
        </w:rPr>
        <w:t xml:space="preserve">Limitations — The Honest Case Against</w:t>
      </w:r>
      <w:bookmarkEnd w:id="18"/>
    </w:p>
    <w:p>
      <w:pPr>
        <w:spacing w:line="360" w:after="210" w:lineRule="auto"/>
      </w:pPr>
      <w:r>
        <w:rPr>
          <w:rFonts w:eastAsia="georgia" w:cs="georgia" w:ascii="georgia" w:hAnsi="georgia"/>
          <w:b/>
          <w:color w:val="000000"/>
        </w:rPr>
        <w:t xml:space="preserve">Technical Risks</w:t>
      </w:r>
    </w:p>
    <w:p>
      <w:pPr>
        <w:numPr>
          <w:ilvl w:val="0"/>
          <w:numId w:val="8"/>
        </w:numPr>
        <w:spacing w:line="360" w:before="105" w:after="105" w:lineRule="auto"/>
      </w:pPr>
      <w:r>
        <w:rPr>
          <w:rFonts w:eastAsia="georgia" w:cs="georgia" w:ascii="georgia" w:hAnsi="georgia"/>
          <w:color w:val="000000"/>
          <w:sz w:val="21"/>
        </w:rPr>
        <w:t xml:space="preserve">BCI hardware (Emotiv-class EEG) introduces significant measurement noise in consumer-grade settings; clinical-grade accuracy requires controlled environments that most enterprise deployments cannot guarantee[^16]</w:t>
      </w:r>
    </w:p>
    <w:p>
      <w:pPr>
        <w:numPr>
          <w:ilvl w:val="0"/>
          <w:numId w:val="8"/>
        </w:numPr>
        <w:spacing w:line="360" w:before="105" w:after="105" w:lineRule="auto"/>
      </w:pPr>
      <w:r>
        <w:rPr>
          <w:rFonts w:eastAsia="georgia" w:cs="georgia" w:ascii="georgia" w:hAnsi="georgia"/>
          <w:color w:val="000000"/>
          <w:sz w:val="21"/>
        </w:rPr>
        <w:t xml:space="preserve">CCQ correlations (r = 0.91 in published paper) were derived from neurofeedback sessions — real-world enterprise settings introduce confounders (fatigue, medication, stress, environment) that may significantly degrade accuracy[^5]</w:t>
      </w:r>
    </w:p>
    <w:p>
      <w:pPr>
        <w:numPr>
          <w:ilvl w:val="0"/>
          <w:numId w:val="8"/>
        </w:numPr>
        <w:spacing w:line="360" w:before="105" w:after="105" w:lineRule="auto"/>
      </w:pPr>
      <w:r>
        <w:rPr>
          <w:rFonts w:eastAsia="georgia" w:cs="georgia" w:ascii="georgia" w:hAnsi="georgia"/>
          <w:color w:val="000000"/>
          <w:sz w:val="21"/>
        </w:rPr>
        <w:t xml:space="preserve">The VOLTS emission formula is proprietary and not yet peer-reviewed in its commercial form; the academic paper (Law of Semantic Energy) provides the theoretical basis but does not validate the tokenomic implementation[</w:t>
      </w:r>
      <w:r>
        <w:rPr>
          <w:rFonts w:eastAsia="georgia" w:cs="georgia" w:ascii="georgia" w:hAnsi="georgia"/>
          <w:color w:val="000000"/>
          <w:sz w:val="21"/>
          <w:vertAlign w:val="superscript"/>
        </w:rPr>
        <w:t xml:space="preserve">12][</w:t>
      </w:r>
      <w:r>
        <w:rPr>
          <w:rFonts w:eastAsia="georgia" w:cs="georgia" w:ascii="georgia" w:hAnsi="georgia"/>
          <w:color w:val="000000"/>
          <w:sz w:val="21"/>
        </w:rPr>
        <w:t xml:space="preserve">5]</w:t>
      </w:r>
    </w:p>
    <w:p>
      <w:pPr>
        <w:spacing w:line="360" w:after="210" w:lineRule="auto"/>
      </w:pPr>
      <w:r>
        <w:rPr>
          <w:rFonts w:eastAsia="georgia" w:cs="georgia" w:ascii="georgia" w:hAnsi="georgia"/>
          <w:b/>
          <w:color w:val="000000"/>
        </w:rPr>
        <w:t xml:space="preserve">Market Risks</w:t>
      </w:r>
    </w:p>
    <w:p>
      <w:pPr>
        <w:numPr>
          <w:ilvl w:val="0"/>
          <w:numId w:val="9"/>
        </w:numPr>
        <w:spacing w:line="360" w:before="105" w:after="105" w:lineRule="auto"/>
      </w:pPr>
      <w:r>
        <w:rPr>
          <w:rFonts w:eastAsia="georgia" w:cs="georgia" w:ascii="georgia" w:hAnsi="georgia"/>
          <w:color w:val="000000"/>
          <w:sz w:val="21"/>
        </w:rPr>
        <w:t xml:space="preserve">Enterprise HR and talent technology is a compliance-heavy market; cognitive scoring tools will face regulatory scrutiny under EEOC, GDPR, and emerging AI governance frameworks — particularly any scoring that influences hiring decisions</w:t>
      </w:r>
    </w:p>
    <w:p>
      <w:pPr>
        <w:numPr>
          <w:ilvl w:val="0"/>
          <w:numId w:val="9"/>
        </w:numPr>
        <w:spacing w:line="360" w:before="105" w:after="105" w:lineRule="auto"/>
      </w:pPr>
      <w:r>
        <w:rPr>
          <w:rFonts w:eastAsia="georgia" w:cs="georgia" w:ascii="georgia" w:hAnsi="georgia"/>
          <w:color w:val="000000"/>
          <w:sz w:val="21"/>
        </w:rPr>
        <w:t xml:space="preserve">The human capital measurement market is dominated by well-capitalized incumbents (Workday, SAP SuccessFactors, Oracle HCM) with existing HR tech relationships that ARCHON would need to integrate with or displace[^15]</w:t>
      </w:r>
    </w:p>
    <w:p>
      <w:pPr>
        <w:numPr>
          <w:ilvl w:val="0"/>
          <w:numId w:val="9"/>
        </w:numPr>
        <w:spacing w:line="360" w:before="105" w:after="105" w:lineRule="auto"/>
      </w:pPr>
      <w:r>
        <w:rPr>
          <w:rFonts w:eastAsia="georgia" w:cs="georgia" w:ascii="georgia" w:hAnsi="georgia"/>
          <w:color w:val="000000"/>
          <w:sz w:val="21"/>
        </w:rPr>
        <w:t xml:space="preserve">"Consciousness-backed currency" and neural capitalism framing will generate mainstream media skepticism that could impede enterprise sales cycles — requiring careful positioning between visionary and defensible</w:t>
      </w:r>
    </w:p>
    <w:p>
      <w:pPr>
        <w:spacing w:line="360" w:after="210" w:lineRule="auto"/>
      </w:pPr>
      <w:r>
        <w:rPr>
          <w:rFonts w:eastAsia="georgia" w:cs="georgia" w:ascii="georgia" w:hAnsi="georgia"/>
          <w:b/>
          <w:color w:val="000000"/>
        </w:rPr>
        <w:t xml:space="preserve">Stage Risks</w:t>
      </w:r>
    </w:p>
    <w:p>
      <w:pPr>
        <w:numPr>
          <w:ilvl w:val="0"/>
          <w:numId w:val="10"/>
        </w:numPr>
        <w:spacing w:line="360" w:before="105" w:after="105" w:lineRule="auto"/>
      </w:pPr>
      <w:r>
        <w:rPr>
          <w:rFonts w:eastAsia="georgia" w:cs="georgia" w:ascii="georgia" w:hAnsi="georgia"/>
          <w:color w:val="000000"/>
          <w:sz w:val="21"/>
        </w:rPr>
        <w:t xml:space="preserve">Company is pre-revenue, registered January 2025, with a two-person core team as of early 2025</w:t>
      </w:r>
    </w:p>
    <w:p>
      <w:pPr>
        <w:numPr>
          <w:ilvl w:val="0"/>
          <w:numId w:val="10"/>
        </w:numPr>
        <w:spacing w:line="360" w:before="105" w:after="105" w:lineRule="auto"/>
      </w:pPr>
      <w:r>
        <w:rPr>
          <w:rFonts w:eastAsia="georgia" w:cs="georgia" w:ascii="georgia" w:hAnsi="georgia"/>
          <w:color w:val="000000"/>
          <w:sz w:val="21"/>
        </w:rPr>
        <w:t xml:space="preserve">Patent filings on Factorizer are pending, not granted — providing limited defensive moat during the pre-revenue phase[^3]</w:t>
      </w:r>
    </w:p>
    <w:p>
      <w:pPr>
        <w:numPr>
          <w:ilvl w:val="0"/>
          <w:numId w:val="10"/>
        </w:numPr>
        <w:spacing w:line="360" w:before="105" w:after="105" w:lineRule="auto"/>
      </w:pPr>
      <w:r>
        <w:rPr>
          <w:rFonts w:eastAsia="georgia" w:cs="georgia" w:ascii="georgia" w:hAnsi="georgia"/>
          <w:color w:val="000000"/>
          <w:sz w:val="21"/>
        </w:rPr>
        <w:t xml:space="preserve">The founder is also the first and only fully instrumented subject (001-Psi) — N=1 is proof of concept, not clinical validation[^9]</w:t>
      </w:r>
    </w:p>
    <w:p>
      <w:pPr>
        <w:numPr>
          <w:ilvl w:val="0"/>
          <w:numId w:val="10"/>
        </w:numPr>
        <w:spacing w:line="360" w:before="105" w:after="105" w:lineRule="auto"/>
      </w:pPr>
      <w:r>
        <w:rPr>
          <w:rFonts w:eastAsia="georgia" w:cs="georgia" w:ascii="georgia" w:hAnsi="georgia"/>
          <w:color w:val="000000"/>
          <w:sz w:val="21"/>
        </w:rPr>
        <w:t xml:space="preserve">No disclosed institutional pilots, enterprise customers, or third-party validation studies at time of this briefing</w:t>
      </w:r>
    </w:p>
    <w:p>
      <w:pPr>
        <w:spacing w:line="360" w:after="210" w:lineRule="auto"/>
      </w:pPr>
      <w:r>
        <w:rPr>
          <w:rFonts w:eastAsia="georgia" w:cs="georgia" w:ascii="georgia" w:hAnsi="georgia"/>
          <w:b/>
          <w:color w:val="000000"/>
        </w:rPr>
        <w:t xml:space="preserve">Philosophical/Ethical Risks</w:t>
      </w:r>
    </w:p>
    <w:p>
      <w:pPr>
        <w:numPr>
          <w:ilvl w:val="0"/>
          <w:numId w:val="11"/>
        </w:numPr>
        <w:spacing w:line="360" w:before="105" w:after="105" w:lineRule="auto"/>
      </w:pPr>
      <w:r>
        <w:rPr>
          <w:rFonts w:eastAsia="georgia" w:cs="georgia" w:ascii="georgia" w:hAnsi="georgia"/>
          <w:color w:val="000000"/>
          <w:sz w:val="21"/>
        </w:rPr>
        <w:t xml:space="preserve">Scoring human cognitive capital creates asymmetric information between the entity holding scores and the individual being scored — raises serious consent, portability, and bias questions</w:t>
      </w:r>
    </w:p>
    <w:p>
      <w:pPr>
        <w:numPr>
          <w:ilvl w:val="0"/>
          <w:numId w:val="11"/>
        </w:numPr>
        <w:spacing w:line="360" w:before="105" w:after="105" w:lineRule="auto"/>
      </w:pPr>
      <w:r>
        <w:rPr>
          <w:rFonts w:eastAsia="georgia" w:cs="georgia" w:ascii="georgia" w:hAnsi="georgia"/>
          <w:color w:val="000000"/>
          <w:sz w:val="21"/>
        </w:rPr>
        <w:t xml:space="preserve">The Omega-Gap and StoneScore mechanisms, if deployed by investors as hiring screens, could embed new forms of cognitive discrimination unless rigorously audited for demographic bias</w:t>
      </w:r>
    </w:p>
    <w:p>
      <w:pPr>
        <w:numPr>
          <w:ilvl w:val="0"/>
          <w:numId w:val="11"/>
        </w:numPr>
        <w:spacing w:line="360" w:before="105" w:after="105" w:lineRule="auto"/>
      </w:pPr>
      <w:r>
        <w:rPr>
          <w:rFonts w:eastAsia="georgia" w:cs="georgia" w:ascii="georgia" w:hAnsi="georgia"/>
          <w:color w:val="000000"/>
          <w:sz w:val="21"/>
        </w:rPr>
        <w:t xml:space="preserve">"Neural liquidity" as a financial metaphor may attract regulatory attention from securities regulators if VOLTS tokens are deemed investment contracts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9" w:name="part_iv_investor_due_diligence_map"/>
      <w:r>
        <w:rPr>
          <w:rFonts w:eastAsia="georgia" w:cs="georgia" w:ascii="georgia" w:hAnsi="georgia"/>
          <w:b/>
          <w:color w:val="000000"/>
          <w:sz w:val="24"/>
        </w:rPr>
        <w:t xml:space="preserve">Part IV — Investor Due Diligence Map</w:t>
      </w:r>
      <w:bookmarkEnd w:id="19"/>
    </w:p>
    <w:p>
      <w:pPr>
        <w:spacing w:line="360" w:before="315" w:after="105" w:lineRule="auto"/>
        <w:ind w:left="-30"/>
        <w:jc w:val="left"/>
      </w:pPr>
      <w:bookmarkStart w:id="20" w:name="what_serious_investors_will_ask_a_56548a"/>
      <w:r>
        <w:rPr>
          <w:rFonts w:eastAsia="georgia" w:cs="georgia" w:ascii="georgia" w:hAnsi="georgia"/>
          <w:b/>
          <w:color w:val="000000"/>
          <w:sz w:val="24"/>
        </w:rPr>
        <w:t xml:space="preserve">What Serious Investors Will Ask — and the Defensible Answers</w:t>
      </w:r>
      <w:bookmarkEnd w:id="20"/>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Due Diligence Question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Current Status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Honest Answer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is the revenue model?</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Token-gated SaaS, microSaaS per-unit pricing, neural capital indexing, agent skill marketplace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Pre-revenue; multiple model options in active design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Who are the customers?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Enterprises (HR/talent), investors, individual knowledge workers, AI developers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No disclosed paying customers at Series A approach stage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is the defensible IP?</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2 patent filings on Factorizer, proprietary QTAC₇ rubric, Canon Ledger architecture, academic publications[</w:t>
            </w:r>
            <w:r>
              <w:rPr>
                <w:rFonts w:eastAsia="georgia" w:cs="georgia" w:ascii="georgia" w:hAnsi="georgia"/>
                <w:color w:val="000000"/>
                <w:sz w:val="17"/>
                <w:vertAlign w:val="superscript"/>
              </w:rPr>
              <w:t xml:space="preserve">2][</w:t>
            </w:r>
            <w:r>
              <w:rPr>
                <w:rFonts w:eastAsia="helvetica neue" w:cs="helvetica neue" w:ascii="helvetica neue" w:hAnsi="helvetica neue"/>
                <w:color w:val="000000"/>
                <w:sz w:val="17"/>
              </w:rPr>
              <w:t xml:space="preserve">3][^9]</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Patents pending; publications establish priority and public record</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is the clinical/technical validation?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Published paper: 96.74% accuracy across 847M neural patterns, 12,000+ sessions[^5]</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Academic claim; requires third-party replication in enterprise settings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Who are the co-founders and team?</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Brandon Hines (Founder, CTO), Howard University graduate, 1,841 LinkedIn followers[^3]</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Sole founder; team build is a key risk and first use of capital</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is the competitive moat?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Proprietary scoring architecture, Canon Ledger permanence layer, VOLTS tokenomics, NVIDIA Inception membership[</w:t>
            </w:r>
            <w:r>
              <w:rPr>
                <w:rFonts w:eastAsia="georgia" w:cs="georgia" w:ascii="georgia" w:hAnsi="georgia"/>
                <w:color w:val="000000"/>
                <w:sz w:val="17"/>
                <w:vertAlign w:val="superscript"/>
              </w:rPr>
              <w:t xml:space="preserve">1][</w:t>
            </w:r>
            <w:r>
              <w:rPr>
                <w:rFonts w:eastAsia="helvetica neue" w:cs="helvetica neue" w:ascii="helvetica neue" w:hAnsi="helvetica neue"/>
                <w:color w:val="000000"/>
                <w:sz w:val="17"/>
              </w:rPr>
              <w:t xml:space="preserve">3]</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First-mover in cognitive capital scoring; moat is conceptual until enterprise deployment</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market are you sizing?</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HCM ($26.9B → $50.2B)[^15], Neurotech ($15.3B → $52.9B)[^16], AI infrastructure ($390.9B → $3.5T)[^17]</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Three adjacent markets; ARCHON sits at the intersection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are the regulatory risks?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EEOC, GDPR, EU AI Act, SEC (if VOLTS = securities)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Not yet formally addressed; regulatory strategy is required pre-Series A</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does the product look like today?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Cognitive Audit dashboard, QTAC₇ interactive charts, Canon Block export, Reality Lens v2 with provenance footer, Factorizer deployed[^19]</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Functional prototypes; not yet enterprise-grade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is the ask and use of funds?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Not publicly disclosed</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Standard for early stage; team build and first enterprise pilots are logical priorities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What is the long-term vision?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Immortal Candidate Marketplace — civilizational-scale cognitive asset scoring; post-quantum AI-agent-native infrastructure[^9]</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10-20 year vision is coherent and differentiated; near-term milestones need sharper definition</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1" w:name="appendix_published_works_reference_index"/>
      <w:r>
        <w:rPr>
          <w:rFonts w:eastAsia="georgia" w:cs="georgia" w:ascii="georgia" w:hAnsi="georgia"/>
          <w:b/>
          <w:color w:val="000000"/>
          <w:sz w:val="24"/>
        </w:rPr>
        <w:t xml:space="preserve">Appendix — Published Works Reference Index</w:t>
      </w:r>
      <w:bookmarkEnd w:id="21"/>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Title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Platform</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Core Thesis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Beyond the Algorithm: Portalogics and the Neuro-Economy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Substack [^4]</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Intellectual data as electric currency; neuro-feedback as recommendation signal</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The Law of Semantic Energy: E = mc² × μ</w:t>
            </w:r>
          </w:p>
        </w:tc>
        <w:tc>
          <w:tcPr>
            <w:tcBorders>
              <w:top w:val="single" w:sz="1" w:space="0" w:color="000000"/>
              <w:bottom w:val="single" w:sz="1" w:space="0" w:color="000000"/>
              <w:right w:val="single" w:sz="1" w:space="0" w:color="000000"/>
            </w:tcBorders>
          </w:tcPr>
          <w:p>
            <w:pPr>
              <w:spacing w:line="360" w:lineRule="auto"/>
            </w:pPr>
            <w:hyperlink r:id="rId6">
              <w:r>
                <w:rPr>
                  <w:rFonts w:eastAsia="helvetica neue" w:cs="helvetica neue" w:ascii="helvetica neue" w:hAnsi="helvetica neue"/>
                  <w:color w:val="#000"/>
                  <w:sz w:val="17"/>
                  <w:u w:val="single"/>
                </w:rPr>
                <w:t xml:space="preserve">Academia.edu</w:t>
              </w:r>
            </w:hyperlink>
            <w:r>
              <w:rPr>
                <w:rFonts w:eastAsia="helvetica neue" w:cs="helvetica neue" w:ascii="helvetica neue" w:hAnsi="helvetica neue"/>
                <w:color w:val="000000"/>
                <w:sz w:val="17"/>
              </w:rPr>
              <w:t xml:space="preserve"> [^5]</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Extending mass-energy equivalence to consciousness; CCQ measurement; 96.74% classification accuracy</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The Four-Wave Convergence: Neural Capitalism as Transcendent Economic Paradigm</w:t>
            </w:r>
          </w:p>
        </w:tc>
        <w:tc>
          <w:tcPr>
            <w:tcBorders>
              <w:top w:val="single" w:sz="1" w:space="0" w:color="000000"/>
              <w:bottom w:val="single" w:sz="1" w:space="0" w:color="000000"/>
              <w:right w:val="single" w:sz="1" w:space="0" w:color="000000"/>
            </w:tcBorders>
          </w:tcPr>
          <w:p>
            <w:pPr>
              <w:spacing w:line="360" w:lineRule="auto"/>
            </w:pPr>
            <w:hyperlink r:id="rId7">
              <w:r>
                <w:rPr>
                  <w:rFonts w:eastAsia="helvetica neue" w:cs="helvetica neue" w:ascii="helvetica neue" w:hAnsi="helvetica neue"/>
                  <w:color w:val="#000"/>
                  <w:sz w:val="17"/>
                  <w:u w:val="single"/>
                </w:rPr>
                <w:t xml:space="preserve">Academia.edu</w:t>
              </w:r>
            </w:hyperlink>
            <w:r>
              <w:rPr>
                <w:rFonts w:eastAsia="helvetica neue" w:cs="helvetica neue" w:ascii="helvetica neue" w:hAnsi="helvetica neue"/>
                <w:color w:val="000000"/>
                <w:sz w:val="17"/>
              </w:rPr>
              <w:t xml:space="preserve"> [^6]</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Four-wave market thesis; cognitive capital as new asset class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Neural Capital OS and the HPBI Index Family</w:t>
            </w:r>
          </w:p>
        </w:tc>
        <w:tc>
          <w:tcPr>
            <w:tcBorders>
              <w:top w:val="single" w:sz="1" w:space="0" w:color="000000"/>
              <w:bottom w:val="single" w:sz="1" w:space="0" w:color="000000"/>
              <w:right w:val="single" w:sz="1" w:space="0" w:color="000000"/>
            </w:tcBorders>
          </w:tcPr>
          <w:p>
            <w:pPr>
              <w:spacing w:line="360" w:lineRule="auto"/>
            </w:pPr>
            <w:hyperlink r:id="rId8">
              <w:r>
                <w:rPr>
                  <w:rFonts w:eastAsia="helvetica neue" w:cs="helvetica neue" w:ascii="helvetica neue" w:hAnsi="helvetica neue"/>
                  <w:color w:val="#000"/>
                  <w:sz w:val="17"/>
                  <w:u w:val="single"/>
                </w:rPr>
                <w:t xml:space="preserve">Academia.edu</w:t>
              </w:r>
            </w:hyperlink>
            <w:r>
              <w:rPr>
                <w:rFonts w:eastAsia="helvetica neue" w:cs="helvetica neue" w:ascii="helvetica neue" w:hAnsi="helvetica neue"/>
                <w:color w:val="000000"/>
                <w:sz w:val="17"/>
              </w:rPr>
              <w:t xml:space="preserve"> [^9]</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Complete measurement stack; VSK Pipeline, IMCM, HPBI indices, ARCHON Ψ, Canon Ledger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VOLTS Blueprint Intelligence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YouTube/Substack [^11]</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Tokenomics of consciousness-backed currency; VOLTS as productivity derivatives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VOLTS Cryptocurrency: Legal, Community, and Marketing Strategies</w:t>
            </w:r>
          </w:p>
        </w:tc>
        <w:tc>
          <w:tcPr>
            <w:tcBorders>
              <w:top w:val="single" w:sz="1" w:space="0" w:color="000000"/>
              <w:bottom w:val="single" w:sz="1" w:space="0" w:color="000000"/>
              <w:right w:val="single" w:sz="1" w:space="0" w:color="000000"/>
            </w:tcBorders>
          </w:tcPr>
          <w:p>
            <w:pPr>
              <w:spacing w:line="360" w:lineRule="auto"/>
            </w:pPr>
            <w:hyperlink r:id="rId9">
              <w:r>
                <w:rPr>
                  <w:rFonts w:eastAsia="helvetica neue" w:cs="helvetica neue" w:ascii="helvetica neue" w:hAnsi="helvetica neue"/>
                  <w:color w:val="#000"/>
                  <w:sz w:val="17"/>
                  <w:u w:val="single"/>
                </w:rPr>
                <w:t xml:space="preserve">Academia.edu</w:t>
              </w:r>
            </w:hyperlink>
            <w:r>
              <w:rPr>
                <w:rFonts w:eastAsia="helvetica neue" w:cs="helvetica neue" w:ascii="helvetica neue" w:hAnsi="helvetica neue"/>
                <w:color w:val="000000"/>
                <w:sz w:val="17"/>
              </w:rPr>
              <w:t xml:space="preserve"> [^12]</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Regulatory framework for VOLTS; AML/KYC, securities analysis, community strategy</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Professor Clay's Studiolo: Neural Capitalism</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YouTube [^13]</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The Hines Constants; cognitive velocity framework; the 50ms advantage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ARCHON Ψ GitHub Repository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GitHub [^2]</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QTAC₇ engine, Stone Score, Canon Ledger CB-285→CB-365+, L7, GateHub, Capital Policy</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i/>
                <w:color w:val="000000"/>
                <w:sz w:val="17"/>
              </w:rPr>
              <w:t xml:space="preserve">Ritual BCI OS: The Sovereign's Declaration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Substack [</w:t>
            </w:r>
            <w:r>
              <w:rPr>
                <w:rFonts w:eastAsia="georgia" w:cs="georgia" w:ascii="georgia" w:hAnsi="georgia"/>
                <w:color w:val="000000"/>
                <w:sz w:val="17"/>
                <w:vertAlign w:val="superscript"/>
              </w:rPr>
              <w:t xml:space="preserve">1][</w:t>
            </w:r>
            <w:r>
              <w:rPr>
                <w:rFonts w:eastAsia="helvetica neue" w:cs="helvetica neue" w:ascii="helvetica neue" w:hAnsi="helvetica neue"/>
                <w:color w:val="000000"/>
                <w:sz w:val="17"/>
              </w:rPr>
              <w:t xml:space="preserve">7]</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Complete chronicle of Neural Capitalism; VOLTS Burn Transcendence Protocol; RITUAL OS architecture</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2" w:name="references"/>
      <w:r>
        <w:rPr>
          <w:rFonts w:eastAsia="georgia" w:cs="georgia" w:ascii="georgia" w:hAnsi="georgia"/>
          <w:b/>
          <w:color w:val="000000"/>
          <w:sz w:val="24"/>
        </w:rPr>
        <w:t xml:space="preserve">References</w:t>
      </w:r>
      <w:bookmarkEnd w:id="22"/>
    </w:p>
    <w:p>
      <w:pPr>
        <w:numPr>
          <w:ilvl w:val="0"/>
          <w:numId w:val="12"/>
        </w:numPr>
        <w:spacing w:line="360" w:after="210" w:lineRule="auto"/>
      </w:pPr>
      <w:hyperlink r:id="rId10">
        <w:r>
          <w:rPr>
            <w:rFonts w:eastAsia="helvetica neue" w:cs="helvetica neue" w:ascii="helvetica neue" w:hAnsi="helvetica neue"/>
            <w:color w:val="#000"/>
            <w:sz w:val="21"/>
            <w:u w:val="single"/>
          </w:rPr>
          <w:t xml:space="preserve">Ritual BCI OS: The Sovereign's Declaration Podcast | Brandon Hines</w:t>
        </w:r>
      </w:hyperlink>
      <w:r>
        <w:rPr>
          <w:rFonts w:eastAsia="georgia" w:cs="georgia" w:ascii="georgia" w:hAnsi="georgia"/>
          <w:color w:val="000000"/>
          <w:sz w:val="21"/>
        </w:rPr>
        <w:t xml:space="preserve"> - The official chronicle of the New Aeon, where consciousness becomes capital. Decrees from Brandon Hi...</w:t>
      </w:r>
    </w:p>
    <w:p>
      <w:pPr>
        <w:numPr>
          <w:ilvl w:val="0"/>
          <w:numId w:val="12"/>
        </w:numPr>
        <w:spacing w:line="360" w:after="210" w:lineRule="auto"/>
      </w:pPr>
      <w:hyperlink r:id="rId11">
        <w:r>
          <w:rPr>
            <w:rFonts w:eastAsia="helvetica neue" w:cs="helvetica neue" w:ascii="helvetica neue" w:hAnsi="helvetica neue"/>
            <w:color w:val="#000"/>
            <w:sz w:val="21"/>
            <w:u w:val="single"/>
          </w:rPr>
          <w:t xml:space="preserve">bci · GitHub Topics · GitHub</w:t>
        </w:r>
      </w:hyperlink>
      <w:r>
        <w:rPr>
          <w:rFonts w:eastAsia="georgia" w:cs="georgia" w:ascii="georgia" w:hAnsi="georgia"/>
          <w:color w:val="000000"/>
          <w:sz w:val="21"/>
        </w:rPr>
        <w:t xml:space="preserve"> - ARCHON Ψ — Cognitive Measurement Engine. QTAC₇, Stone Score, Canon Ledger CB-285→CB-365+, L7, GateHu...</w:t>
      </w:r>
    </w:p>
    <w:p>
      <w:pPr>
        <w:numPr>
          <w:ilvl w:val="0"/>
          <w:numId w:val="12"/>
        </w:numPr>
        <w:spacing w:line="360" w:after="210" w:lineRule="auto"/>
      </w:pPr>
      <w:hyperlink r:id="rId12">
        <w:r>
          <w:rPr>
            <w:rFonts w:eastAsia="helvetica neue" w:cs="helvetica neue" w:ascii="helvetica neue" w:hAnsi="helvetica neue"/>
            <w:color w:val="#000"/>
            <w:sz w:val="21"/>
            <w:u w:val="single"/>
          </w:rPr>
          <w:t xml:space="preserve">Brandon Hines | LinkedIn</w:t>
        </w:r>
      </w:hyperlink>
      <w:r>
        <w:rPr>
          <w:rFonts w:eastAsia="georgia" w:cs="georgia" w:ascii="georgia" w:hAnsi="georgia"/>
          <w:color w:val="000000"/>
          <w:sz w:val="21"/>
        </w:rPr>
        <w:t xml:space="preserve"> - </w:t>
      </w:r>
      <w:r>
        <w:rPr>
          <w:rFonts w:eastAsia="georgia" w:cs="georgia" w:ascii="georgia" w:hAnsi="georgia"/>
          <w:b/>
          <w:color w:val="000000"/>
          <w:sz w:val="21"/>
        </w:rPr>
        <w:t xml:space="preserve">Brandon Hines</w:t>
      </w:r>
      <w:r>
        <w:rPr>
          <w:rFonts w:eastAsia="georgia" w:cs="georgia" w:ascii="georgia" w:hAnsi="georgia"/>
          <w:color w:val="000000"/>
          <w:sz w:val="21"/>
        </w:rPr>
        <w:br w:type="textWrapping"/>
      </w:r>
      <w:r>
        <w:rPr>
          <w:rFonts w:eastAsia="georgia" w:cs="georgia" w:ascii="georgia" w:hAnsi="georgia"/>
          <w:b/>
          <w:color w:val="000000"/>
          <w:sz w:val="21"/>
        </w:rPr>
        <w:t xml:space="preserve">Advisory Board Member</w:t>
      </w:r>
      <w:r>
        <w:rPr>
          <w:rFonts w:eastAsia="georgia" w:cs="georgia" w:ascii="georgia" w:hAnsi="georgia"/>
          <w:color w:val="000000"/>
          <w:sz w:val="21"/>
        </w:rPr>
        <w:br w:type="textWrapping"/>
      </w:r>
      <w:r>
        <w:rPr>
          <w:rFonts w:eastAsia="georgia" w:cs="georgia" w:ascii="georgia" w:hAnsi="georgia"/>
          <w:color w:val="000000"/>
          <w:sz w:val="21"/>
        </w:rPr>
        <w:t xml:space="preserve">**Founder &amp; CTO, Waveform Tech – Neural Capitalism &amp; Con...</w:t>
      </w:r>
    </w:p>
    <w:p>
      <w:pPr>
        <w:numPr>
          <w:ilvl w:val="0"/>
          <w:numId w:val="12"/>
        </w:numPr>
        <w:spacing w:line="360" w:after="210" w:lineRule="auto"/>
      </w:pPr>
      <w:hyperlink r:id="rId13">
        <w:r>
          <w:rPr>
            <w:rFonts w:eastAsia="helvetica neue" w:cs="helvetica neue" w:ascii="helvetica neue" w:hAnsi="helvetica neue"/>
            <w:color w:val="#000"/>
            <w:sz w:val="21"/>
            <w:u w:val="single"/>
          </w:rPr>
          <w:t xml:space="preserve">Beyond the Algorithm: Why 'Portalogics' and the Neuro-Economy of ...</w:t>
        </w:r>
      </w:hyperlink>
      <w:r>
        <w:rPr>
          <w:rFonts w:eastAsia="georgia" w:cs="georgia" w:ascii="georgia" w:hAnsi="georgia"/>
          <w:color w:val="000000"/>
          <w:sz w:val="21"/>
        </w:rPr>
        <w:t xml:space="preserve"> - The user's gateway to this neuro-economic system is the Perch Terminal – a sleek, intuitive interfac...</w:t>
      </w:r>
    </w:p>
    <w:p>
      <w:pPr>
        <w:numPr>
          <w:ilvl w:val="0"/>
          <w:numId w:val="12"/>
        </w:numPr>
        <w:spacing w:line="360" w:after="210" w:lineRule="auto"/>
      </w:pPr>
      <w:hyperlink r:id="rId14">
        <w:r>
          <w:rPr>
            <w:rFonts w:eastAsia="helvetica neue" w:cs="helvetica neue" w:ascii="helvetica neue" w:hAnsi="helvetica neue"/>
            <w:color w:val="#000"/>
            <w:sz w:val="21"/>
            <w:u w:val="single"/>
          </w:rPr>
          <w:t xml:space="preserve">(PDF) The Law of Semantic Energy: Extending Einstein's Mass ...</w:t>
        </w:r>
      </w:hyperlink>
      <w:r>
        <w:rPr>
          <w:rFonts w:eastAsia="georgia" w:cs="georgia" w:ascii="georgia" w:hAnsi="georgia"/>
          <w:color w:val="000000"/>
          <w:sz w:val="21"/>
        </w:rPr>
        <w:t xml:space="preserve"> - # The Law of Semantic Energy: Extending Einstein's Mass-Energy Equivalence to Consciousness and Info...</w:t>
      </w:r>
    </w:p>
    <w:p>
      <w:pPr>
        <w:numPr>
          <w:ilvl w:val="0"/>
          <w:numId w:val="12"/>
        </w:numPr>
        <w:spacing w:line="360" w:after="210" w:lineRule="auto"/>
      </w:pPr>
      <w:hyperlink r:id="rId15">
        <w:r>
          <w:rPr>
            <w:rFonts w:eastAsia="helvetica neue" w:cs="helvetica neue" w:ascii="helvetica neue" w:hAnsi="helvetica neue"/>
            <w:color w:val="#000"/>
            <w:sz w:val="21"/>
            <w:u w:val="single"/>
          </w:rPr>
          <w:t xml:space="preserve">Brandon Hines - Independent Researcher - Academia.edu</w:t>
        </w:r>
      </w:hyperlink>
      <w:r>
        <w:rPr>
          <w:rFonts w:eastAsia="georgia" w:cs="georgia" w:ascii="georgia" w:hAnsi="georgia"/>
          <w:color w:val="000000"/>
          <w:sz w:val="21"/>
        </w:rPr>
        <w:t xml:space="preserve"> - Brandon M. Hines: The Sovereign Architect of Neural Capitalism ... The Four-Wave Convergence: Neural...</w:t>
      </w:r>
    </w:p>
    <w:p>
      <w:pPr>
        <w:numPr>
          <w:ilvl w:val="0"/>
          <w:numId w:val="12"/>
        </w:numPr>
        <w:spacing w:line="360" w:after="210" w:lineRule="auto"/>
      </w:pPr>
      <w:hyperlink r:id="rId16">
        <w:r>
          <w:rPr>
            <w:rFonts w:eastAsia="helvetica neue" w:cs="helvetica neue" w:ascii="helvetica neue" w:hAnsi="helvetica neue"/>
            <w:color w:val="#000"/>
            <w:sz w:val="21"/>
            <w:u w:val="single"/>
          </w:rPr>
          <w:t xml:space="preserve">About - Ritual BCI OS: The Sovereign's Declaration</w:t>
        </w:r>
      </w:hyperlink>
      <w:r>
        <w:rPr>
          <w:rFonts w:eastAsia="georgia" w:cs="georgia" w:ascii="georgia" w:hAnsi="georgia"/>
          <w:color w:val="000000"/>
          <w:sz w:val="21"/>
        </w:rPr>
        <w:t xml:space="preserve"> - The official chronicle of the New Aeon, where consciousness becomes capital. Decrees from Brandon Hi...</w:t>
      </w:r>
    </w:p>
    <w:p>
      <w:pPr>
        <w:numPr>
          <w:ilvl w:val="0"/>
          <w:numId w:val="12"/>
        </w:numPr>
        <w:spacing w:line="360" w:after="210" w:lineRule="auto"/>
      </w:pPr>
      <w:hyperlink r:id="rId17">
        <w:r>
          <w:rPr>
            <w:rFonts w:eastAsia="helvetica neue" w:cs="helvetica neue" w:ascii="helvetica neue" w:hAnsi="helvetica neue"/>
            <w:color w:val="#000"/>
            <w:sz w:val="21"/>
            <w:u w:val="single"/>
          </w:rPr>
          <w:t xml:space="preserve">The Genius Economist of Neural Capitalism</w:t>
        </w:r>
      </w:hyperlink>
      <w:r>
        <w:rPr>
          <w:rFonts w:eastAsia="georgia" w:cs="georgia" w:ascii="georgia" w:hAnsi="georgia"/>
          <w:color w:val="000000"/>
          <w:sz w:val="21"/>
        </w:rPr>
        <w:t xml:space="preserve"> - I am Brandon M. Hines, Founder and CTO of Waveform Tech LLC, architect of RITUAL OS, and holder of 1...</w:t>
      </w:r>
    </w:p>
    <w:p>
      <w:pPr>
        <w:numPr>
          <w:ilvl w:val="0"/>
          <w:numId w:val="12"/>
        </w:numPr>
        <w:spacing w:line="360" w:after="210" w:lineRule="auto"/>
      </w:pPr>
      <w:hyperlink r:id="rId18">
        <w:r>
          <w:rPr>
            <w:rFonts w:eastAsia="helvetica neue" w:cs="helvetica neue" w:ascii="helvetica neue" w:hAnsi="helvetica neue"/>
            <w:color w:val="#000"/>
            <w:sz w:val="21"/>
            <w:u w:val="single"/>
          </w:rPr>
          <w:t xml:space="preserve">(PDF) Enviromental Scanning Dalam Perencanaan SDM - Academia.edu</w:t>
        </w:r>
      </w:hyperlink>
      <w:r>
        <w:rPr>
          <w:rFonts w:eastAsia="georgia" w:cs="georgia" w:ascii="georgia" w:hAnsi="georgia"/>
          <w:color w:val="000000"/>
          <w:sz w:val="21"/>
        </w:rPr>
        <w:t xml:space="preserve"> - # Enviromental Scanning Dalam Perencanaan SDM</w:t>
      </w:r>
    </w:p>
    <w:p>
      <w:pPr>
        <w:spacing w:line="360" w:after="210" w:lineRule="auto"/>
      </w:pPr>
      <w:r>
        <w:rPr>
          <w:rFonts w:eastAsia="georgia" w:cs="georgia" w:ascii="georgia" w:hAnsi="georgia"/>
          <w:color w:val="000000"/>
        </w:rPr>
        <w:t xml:space="preserve">2026</w:t>
      </w:r>
    </w:p>
    <w:p>
      <w:pPr>
        <w:spacing w:line="360" w:after="210" w:lineRule="auto"/>
      </w:pPr>
      <w:r>
        <w:rPr>
          <w:rFonts w:eastAsia="georgia" w:cs="georgia" w:ascii="georgia" w:hAnsi="georgia"/>
          <w:color w:val="000000"/>
        </w:rPr>
        <w:t xml:space="preserve">10 views</w:t>
      </w:r>
    </w:p>
    <w:p>
      <w:pPr>
        <w:spacing w:line="360" w:after="210" w:lineRule="auto"/>
      </w:pPr>
      <w:r>
        <w:rPr>
          <w:rFonts w:eastAsia="georgia" w:cs="georgia" w:ascii="georgia" w:hAnsi="georgia"/>
          <w:color w:val="000000"/>
        </w:rPr>
        <w:t xml:space="preserve">13 pages</w:t>
      </w:r>
    </w:p>
    <w:p>
      <w:pPr>
        <w:spacing w:line="360" w:before="315" w:after="105" w:lineRule="auto"/>
        <w:ind w:left="-30"/>
        <w:jc w:val="left"/>
      </w:pPr>
      <w:bookmarkStart w:id="23" w:name="sign_up_for_access_to"/>
      <w:r>
        <w:rPr>
          <w:rFonts w:eastAsia="georgia" w:cs="georgia" w:ascii="georgia" w:hAnsi="georgia"/>
          <w:b/>
          <w:color w:val="000000"/>
          <w:sz w:val="24"/>
        </w:rPr>
        <w:t xml:space="preserve">Sign up for access to ...</w:t>
      </w:r>
      <w:bookmarkEnd w:id="23"/>
    </w:p>
    <w:p>
      <w:pPr>
        <w:numPr>
          <w:ilvl w:val="0"/>
          <w:numId w:val="13"/>
        </w:numPr>
        <w:spacing w:line="360" w:before="105" w:after="105" w:lineRule="auto"/>
      </w:pPr>
      <w:r>
        <w:rPr>
          <w:rFonts w:eastAsia="georgia" w:cs="georgia" w:ascii="georgia" w:hAnsi="georgia"/>
          <w:color w:val="000000"/>
          <w:sz w:val="21"/>
        </w:rPr>
        <w:t xml:space="preserve">[</w:t>
      </w:r>
      <w:r>
        <w:rPr>
          <w:rFonts w:eastAsia="georgia" w:cs="georgia" w:ascii="georgia" w:hAnsi="georgia"/>
          <w:i/>
          <w:color w:val="000000"/>
          <w:sz w:val="21"/>
        </w:rPr>
        <w:t xml:space="preserve">9. Reality Lens</w:t>
      </w:r>
      <w:r>
        <w:rPr>
          <w:rFonts w:eastAsia="georgia" w:cs="georgia" w:ascii="georgia" w:hAnsi="georgia"/>
          <w:color w:val="000000"/>
          <w:sz w:val="21"/>
        </w:rPr>
        <w:br w:type="textWrapping"/>
      </w:r>
      <w:r>
        <w:rPr>
          <w:rFonts w:eastAsia="georgia" w:cs="georgia" w:ascii="georgia" w:hAnsi="georgia"/>
          <w:color w:val="000000"/>
          <w:sz w:val="21"/>
        </w:rPr>
        <w:t xml:space="preserve">What: 5-test filter for agent deployment decisions</w:t>
      </w:r>
      <w:r>
        <w:rPr>
          <w:rFonts w:eastAsia="georgia" w:cs="georgia" w:ascii="georgia" w:hAnsi="georgia"/>
          <w:color w:val="000000"/>
          <w:sz w:val="21"/>
        </w:rPr>
        <w:br w:type="textWrapping"/>
      </w:r>
      <w:r>
        <w:rPr>
          <w:rFonts w:eastAsia="georgia" w:cs="georgia" w:ascii="georgia" w:hAnsi="georgia"/>
          <w:color w:val="000000"/>
          <w:sz w:val="21"/>
        </w:rPr>
        <w:t xml:space="preserve">Why keystone: prevents phantom capital builds. Every bad automation costs credits and produces noise. Reality Lens is the kill switch.</w:t>
      </w:r>
      <w:r>
        <w:rPr>
          <w:rFonts w:eastAsia="georgia" w:cs="georgia" w:ascii="georgia" w:hAnsi="georgia"/>
          <w:color w:val="000000"/>
          <w:sz w:val="21"/>
        </w:rPr>
        <w:br w:type="textWrapping"/>
      </w:r>
      <w:r>
        <w:rPr>
          <w:rFonts w:eastAsia="georgia" w:cs="georgia" w:ascii="georgia" w:hAnsi="georgia"/>
          <w:color w:val="000000"/>
          <w:sz w:val="21"/>
        </w:rPr>
        <w:t xml:space="preserve">VOLT yield: cost avoided per parked bad build</w:t>
      </w:r>
      <w:r>
        <w:rPr>
          <w:rFonts w:eastAsia="georgia" w:cs="georgia" w:ascii="georgia" w:hAnsi="georgia"/>
          <w:color w:val="000000"/>
          <w:sz w:val="21"/>
        </w:rPr>
        <w:br w:type="textWrapping"/>
      </w:r>
      <w:r>
        <w:rPr>
          <w:rFonts w:eastAsia="georgia" w:cs="georgia" w:ascii="georgia" w:hAnsi="georgia"/>
          <w:color w:val="000000"/>
          <w:sz w:val="21"/>
        </w:rPr>
        <w:t xml:space="preserve">...</w:t>
      </w:r>
    </w:p>
    <w:p>
      <w:pPr>
        <w:spacing w:line="360" w:after="210" w:lineRule="auto"/>
      </w:pPr>
      <w:r>
        <w:rPr>
          <w:rFonts w:eastAsia="georgia" w:cs="georgia" w:ascii="georgia" w:hAnsi="georgia"/>
          <w:color w:val="000000"/>
        </w:rPr>
        <w:t xml:space="preserve">...man cognition becomes measurable capital — every decision logged, every output scored, every Canon block provenance-sealed, and the whole system adapting in real time to the operator's measured cognitive state.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color w:val="000000"/>
        </w:rPr>
        <w:t xml:space="preserve">CB-383 candidate queued. Seal it?](</w:t>
      </w:r>
      <w:hyperlink r:id="rId19">
        <w:r>
          <w:rPr>
            <w:rFonts w:eastAsia="helvetica neue" w:cs="helvetica neue" w:ascii="helvetica neue" w:hAnsi="helvetica neue"/>
            <w:color w:val="#000"/>
            <w:u w:val="single"/>
          </w:rPr>
          <w:t xml:space="preserve">https://www.perplexity.ai/search/3829e3d3-c387-4c29-bcd9-13ec2d3c21d6</w:t>
        </w:r>
      </w:hyperlink>
      <w:r>
        <w:rPr>
          <w:rFonts w:eastAsia="georgia" w:cs="georgia" w:ascii="georgia" w:hAnsi="georgia"/>
          <w:color w:val="000000"/>
        </w:rPr>
        <w:t xml:space="preserve">) - Short answer: Not sealed yet. High potential, but missing one hard constraint layer.</w:t>
      </w:r>
    </w:p>
    <w:p>
      <w:pPr>
        <w:spacing w:line="360" w:after="210" w:lineRule="auto"/>
      </w:pPr>
      <w:r>
        <w:rPr>
          <w:rFonts w:eastAsia="georgia" w:cs="georgia" w:ascii="georgia" w:hAnsi="georgia"/>
          <w:color w:val="000000"/>
        </w:rPr>
        <w:t xml:space="preserve">Here’s the str...</w:t>
      </w:r>
    </w:p>
    <w:p>
      <w:pPr>
        <w:numPr>
          <w:ilvl w:val="0"/>
          <w:numId w:val="14"/>
        </w:numPr>
        <w:spacing w:line="360" w:before="105" w:after="105" w:lineRule="auto"/>
      </w:pPr>
      <w:hyperlink r:id="rId20">
        <w:r>
          <w:rPr>
            <w:rFonts w:eastAsia="helvetica neue" w:cs="helvetica neue" w:ascii="helvetica neue" w:hAnsi="helvetica neue"/>
            <w:color w:val="#000"/>
            <w:sz w:val="21"/>
            <w:u w:val="single"/>
          </w:rPr>
          <w:t xml:space="preserve">Professor Clays Studiolo: VOLTS Blueprint Intelligence</w:t>
        </w:r>
      </w:hyperlink>
      <w:r>
        <w:rPr>
          <w:rFonts w:eastAsia="georgia" w:cs="georgia" w:ascii="georgia" w:hAnsi="georgia"/>
          <w:color w:val="000000"/>
          <w:sz w:val="21"/>
        </w:rPr>
        <w:t xml:space="preserve"> - ## Brandon Hines</w:t>
      </w:r>
    </w:p>
    <w:p>
      <w:pPr>
        <w:spacing w:line="360" w:before="315" w:after="105" w:lineRule="auto"/>
        <w:ind w:left="-30"/>
        <w:jc w:val="left"/>
      </w:pPr>
      <w:bookmarkStart w:id="24" w:name="feb_24_2026_0_00_40"/>
      <w:r>
        <w:rPr>
          <w:rFonts w:eastAsia="georgia" w:cs="georgia" w:ascii="georgia" w:hAnsi="georgia"/>
          <w:b/>
          <w:color w:val="000000"/>
          <w:sz w:val="24"/>
        </w:rPr>
        <w:t xml:space="preserve">Feb 24, 2026 (0:00:40)</w:t>
      </w:r>
      <w:bookmarkEnd w:id="24"/>
    </w:p>
    <w:p>
      <w:pPr>
        <w:spacing w:line="360" w:after="210" w:lineRule="auto"/>
      </w:pPr>
      <w:r>
        <w:rPr>
          <w:rFonts w:eastAsia="georgia" w:cs="georgia" w:ascii="georgia" w:hAnsi="georgia"/>
          <w:color w:val="000000"/>
        </w:rPr>
        <w:t xml:space="preserve">Professor Clay’s Studiolo: VOLTS Blueprint Intelligenc...</w:t>
      </w:r>
    </w:p>
    <w:p>
      <w:pPr>
        <w:numPr>
          <w:ilvl w:val="0"/>
          <w:numId w:val="15"/>
        </w:numPr>
        <w:spacing w:line="360" w:after="210" w:lineRule="auto"/>
      </w:pPr>
      <w:hyperlink r:id="rId21">
        <w:r>
          <w:rPr>
            <w:rFonts w:eastAsia="helvetica neue" w:cs="helvetica neue" w:ascii="helvetica neue" w:hAnsi="helvetica neue"/>
            <w:color w:val="#000"/>
            <w:sz w:val="21"/>
            <w:u w:val="single"/>
          </w:rPr>
          <w:t xml:space="preserve">Navigating the Path to Success: Legal, Community, and Marketing ...</w:t>
        </w:r>
      </w:hyperlink>
      <w:r>
        <w:rPr>
          <w:rFonts w:eastAsia="georgia" w:cs="georgia" w:ascii="georgia" w:hAnsi="georgia"/>
          <w:color w:val="000000"/>
          <w:sz w:val="21"/>
        </w:rPr>
        <w:t xml:space="preserve"> - # Navigating the Path to Success: Legal, Community, and Marketing Strategies for VOLTS Cryptocurrenc...</w:t>
      </w:r>
    </w:p>
    <w:p>
      <w:pPr>
        <w:numPr>
          <w:ilvl w:val="0"/>
          <w:numId w:val="15"/>
        </w:numPr>
        <w:spacing w:line="360" w:after="210" w:lineRule="auto"/>
      </w:pPr>
      <w:hyperlink r:id="rId22">
        <w:r>
          <w:rPr>
            <w:rFonts w:eastAsia="helvetica neue" w:cs="helvetica neue" w:ascii="helvetica neue" w:hAnsi="helvetica neue"/>
            <w:color w:val="#000"/>
            <w:sz w:val="21"/>
            <w:u w:val="single"/>
          </w:rPr>
          <w:t xml:space="preserve">Professor Clay's Studiolo: Neural Capitalism</w:t>
        </w:r>
      </w:hyperlink>
      <w:r>
        <w:rPr>
          <w:rFonts w:eastAsia="georgia" w:cs="georgia" w:ascii="georgia" w:hAnsi="georgia"/>
          <w:color w:val="000000"/>
          <w:sz w:val="21"/>
        </w:rPr>
        <w:t xml:space="preserve"> - ## Brandon Hines</w:t>
      </w:r>
    </w:p>
    <w:p>
      <w:pPr>
        <w:spacing w:line="360" w:before="315" w:after="105" w:lineRule="auto"/>
        <w:ind w:left="-30"/>
        <w:jc w:val="left"/>
      </w:pPr>
      <w:bookmarkStart w:id="25" w:name="feb_22_2026_0_05_27"/>
      <w:r>
        <w:rPr>
          <w:rFonts w:eastAsia="georgia" w:cs="georgia" w:ascii="georgia" w:hAnsi="georgia"/>
          <w:b/>
          <w:color w:val="000000"/>
          <w:sz w:val="24"/>
        </w:rPr>
        <w:t xml:space="preserve">Feb 22, 2026 (0:05:27)</w:t>
      </w:r>
      <w:bookmarkEnd w:id="25"/>
    </w:p>
    <w:p>
      <w:pPr>
        <w:spacing w:line="360" w:after="210" w:lineRule="auto"/>
      </w:pPr>
      <w:r>
        <w:rPr>
          <w:rFonts w:eastAsia="georgia" w:cs="georgia" w:ascii="georgia" w:hAnsi="georgia"/>
          <w:color w:val="000000"/>
        </w:rPr>
        <w:t xml:space="preserve">Cognitive Velocity: "It’s not how much you know; it’s ...</w:t>
      </w:r>
    </w:p>
    <w:p>
      <w:pPr>
        <w:numPr>
          <w:ilvl w:val="0"/>
          <w:numId w:val="16"/>
        </w:numPr>
        <w:spacing w:line="360" w:after="210" w:lineRule="auto"/>
      </w:pPr>
      <w:hyperlink r:id="rId23">
        <w:r>
          <w:rPr>
            <w:rFonts w:eastAsia="helvetica neue" w:cs="helvetica neue" w:ascii="helvetica neue" w:hAnsi="helvetica neue"/>
            <w:color w:val="#000"/>
            <w:sz w:val="21"/>
            <w:u w:val="single"/>
          </w:rPr>
          <w:t xml:space="preserve">Factorizer</w:t>
        </w:r>
      </w:hyperlink>
      <w:r>
        <w:rPr>
          <w:rFonts w:eastAsia="georgia" w:cs="georgia" w:ascii="georgia" w:hAnsi="georgia"/>
          <w:color w:val="000000"/>
          <w:sz w:val="21"/>
        </w:rPr>
        <w:t xml:space="preserve"> - Factorizer is where your near-term capital, proof, and signal all converge; treating it as “the” spe...</w:t>
      </w:r>
    </w:p>
    <w:p>
      <w:pPr>
        <w:numPr>
          <w:ilvl w:val="0"/>
          <w:numId w:val="16"/>
        </w:numPr>
        <w:spacing w:line="360" w:after="210" w:lineRule="auto"/>
      </w:pPr>
      <w:hyperlink r:id="rId24">
        <w:r>
          <w:rPr>
            <w:rFonts w:eastAsia="helvetica neue" w:cs="helvetica neue" w:ascii="helvetica neue" w:hAnsi="helvetica neue"/>
            <w:color w:val="#000"/>
            <w:sz w:val="21"/>
            <w:u w:val="single"/>
          </w:rPr>
          <w:t xml:space="preserve">Human Capital Management Market Size and Outlook 2031</w:t>
        </w:r>
      </w:hyperlink>
      <w:r>
        <w:rPr>
          <w:rFonts w:eastAsia="georgia" w:cs="georgia" w:ascii="georgia" w:hAnsi="georgia"/>
          <w:color w:val="000000"/>
          <w:sz w:val="21"/>
        </w:rPr>
        <w:t xml:space="preserve"> - The Human Capital Management Market will grow from USD 26.91 Billion in 2025 to USD 50.25 Billion by...</w:t>
      </w:r>
    </w:p>
    <w:p>
      <w:pPr>
        <w:numPr>
          <w:ilvl w:val="0"/>
          <w:numId w:val="16"/>
        </w:numPr>
        <w:spacing w:line="360" w:after="210" w:lineRule="auto"/>
      </w:pPr>
      <w:hyperlink r:id="rId25">
        <w:r>
          <w:rPr>
            <w:rFonts w:eastAsia="helvetica neue" w:cs="helvetica neue" w:ascii="helvetica neue" w:hAnsi="helvetica neue"/>
            <w:color w:val="#000"/>
            <w:sz w:val="21"/>
            <w:u w:val="single"/>
          </w:rPr>
          <w:t xml:space="preserve">Neurotechnology Market Size to Hit USD 52.86 Billion by 2034</w:t>
        </w:r>
      </w:hyperlink>
      <w:r>
        <w:rPr>
          <w:rFonts w:eastAsia="georgia" w:cs="georgia" w:ascii="georgia" w:hAnsi="georgia"/>
          <w:color w:val="000000"/>
          <w:sz w:val="21"/>
        </w:rPr>
        <w:t xml:space="preserve"> - The global neurotechnology market size was valued at USD 15.30 billion in 2024 and is projected to h...</w:t>
      </w:r>
    </w:p>
    <w:p>
      <w:pPr>
        <w:numPr>
          <w:ilvl w:val="0"/>
          <w:numId w:val="16"/>
        </w:numPr>
        <w:spacing w:line="360" w:after="210" w:lineRule="auto"/>
      </w:pPr>
      <w:hyperlink r:id="rId26">
        <w:r>
          <w:rPr>
            <w:rFonts w:eastAsia="helvetica neue" w:cs="helvetica neue" w:ascii="helvetica neue" w:hAnsi="helvetica neue"/>
            <w:color w:val="#000"/>
            <w:sz w:val="21"/>
            <w:u w:val="single"/>
          </w:rPr>
          <w:t xml:space="preserve">Artificial Intelligence Market Size | Industry Report, 2033</w:t>
        </w:r>
      </w:hyperlink>
      <w:r>
        <w:rPr>
          <w:rFonts w:eastAsia="georgia" w:cs="georgia" w:ascii="georgia" w:hAnsi="georgia"/>
          <w:color w:val="000000"/>
          <w:sz w:val="21"/>
        </w:rPr>
        <w:t xml:space="preserve"> - The global artificial intelligence market size was estimated at USD 390.91 billion in 2025 and is ex...</w:t>
      </w:r>
    </w:p>
    <w:p>
      <w:pPr>
        <w:numPr>
          <w:ilvl w:val="0"/>
          <w:numId w:val="16"/>
        </w:numPr>
        <w:spacing w:line="360" w:after="210" w:lineRule="auto"/>
      </w:pPr>
      <w:hyperlink r:id="rId27">
        <w:r>
          <w:rPr>
            <w:rFonts w:eastAsia="helvetica neue" w:cs="helvetica neue" w:ascii="helvetica neue" w:hAnsi="helvetica neue"/>
            <w:color w:val="#000"/>
            <w:sz w:val="21"/>
            <w:u w:val="single"/>
          </w:rPr>
          <w:t xml:space="preserve">2026 Global Human Capital Trend Report - YouTube</w:t>
        </w:r>
      </w:hyperlink>
      <w:r>
        <w:rPr>
          <w:rFonts w:eastAsia="georgia" w:cs="georgia" w:ascii="georgia" w:hAnsi="georgia"/>
          <w:color w:val="000000"/>
          <w:sz w:val="21"/>
        </w:rPr>
        <w:t xml:space="preserve"> - Discover the key findings of Deloitte's 2026 Global Human Capital Trends — the 15th edition of our f...</w:t>
      </w:r>
    </w:p>
    <w:p>
      <w:pPr>
        <w:numPr>
          <w:ilvl w:val="0"/>
          <w:numId w:val="16"/>
        </w:numPr>
        <w:spacing w:line="360" w:after="210" w:lineRule="auto"/>
      </w:pPr>
      <w:r>
        <w:rPr>
          <w:rFonts w:eastAsia="georgia" w:cs="georgia" w:ascii="georgia" w:hAnsi="georgia"/>
          <w:color w:val="000000"/>
          <w:sz w:val="21"/>
        </w:rPr>
        <w:t xml:space="preserve">[The Factorizer + Reality Lens rebuild is complete and deployed. Here's a summary of everything that was built:</w:t>
      </w:r>
      <w:r>
        <w:rPr>
          <w:rFonts w:eastAsia="georgia" w:cs="georgia" w:ascii="georgia" w:hAnsi="georgia"/>
          <w:color w:val="000000"/>
          <w:sz w:val="21"/>
        </w:rPr>
        <w:br w:type="textWrapping"/>
      </w:r>
      <w:r>
        <w:rPr>
          <w:rFonts w:eastAsia="georgia" w:cs="georgia" w:ascii="georgia" w:hAnsi="georgia"/>
          <w:color w:val="000000"/>
          <w:sz w:val="21"/>
        </w:rPr>
        <w:t xml:space="preserve">Files created/modified:</w:t>
      </w:r>
      <w:r>
        <w:rPr>
          <w:rFonts w:eastAsia="georgia" w:cs="georgia" w:ascii="georgia" w:hAnsi="georgia"/>
          <w:color w:val="000000"/>
          <w:sz w:val="21"/>
        </w:rPr>
        <w:br w:type="textWrapping"/>
      </w:r>
      <w:r>
        <w:rPr>
          <w:rFonts w:eastAsia="georgia" w:cs="georgia" w:ascii="georgia" w:hAnsi="georgia"/>
          <w:color w:val="000000"/>
          <w:sz w:val="21"/>
        </w:rPr>
        <w:t xml:space="preserve">client/src/lib/stripe.ts — Stripe Payment Links config with STRIPE_LINKS object, isStripConfigured() check, and red...</w:t>
      </w:r>
    </w:p>
    <w:p>
      <w:pPr>
        <w:spacing w:line="360" w:after="210" w:lineRule="auto"/>
      </w:pPr>
      <w:r>
        <w:rPr>
          <w:rFonts w:eastAsia="georgia" w:cs="georgia" w:ascii="georgia" w:hAnsi="georgia"/>
          <w:color w:val="000000"/>
        </w:rPr>
        <w:t xml:space="preserve">...ped last night to upgrade the factoring, which is the gateway product for Archon…expose gaps and problem with the speed and we need to upgrade the quality of output in my opinion..each button needs to support the flywheel adopt AJ &amp; smart methodology](</w:t>
      </w:r>
      <w:hyperlink r:id="rId28">
        <w:r>
          <w:rPr>
            <w:rFonts w:eastAsia="helvetica neue" w:cs="helvetica neue" w:ascii="helvetica neue" w:hAnsi="helvetica neue"/>
            <w:color w:val="#000"/>
            <w:u w:val="single"/>
          </w:rPr>
          <w:t xml:space="preserve">https://www.perplexity.ai/search/ed56ae41-7b80-4c52-9cd7-361e643319a6</w:t>
        </w:r>
      </w:hyperlink>
      <w:r>
        <w:rPr>
          <w:rFonts w:eastAsia="georgia" w:cs="georgia" w:ascii="georgia" w:hAnsi="georgia"/>
          <w:color w:val="000000"/>
        </w:rPr>
        <w:t xml:space="preserve">) - Here's your masterpiece. The report is the complete, copy-paste-ready upgrade spec.</w:t>
      </w:r>
    </w:p>
    <w:p>
      <w:pPr>
        <w:spacing w:line="360" w:after="210" w:lineRule="auto"/>
      </w:pPr>
      <w:r>
        <w:rPr>
          <w:rFonts w:eastAsia="georgia" w:cs="georgia" w:ascii="georgia" w:hAnsi="georgia"/>
          <w:color w:val="000000"/>
        </w:rPr>
        <w:t xml:space="preserve">What's inside —...</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georgia">
    <w:family w:val="auto"/>
    <w:pitch w:val="variable"/>
  </w:font>
  <w:font w:name="helvetica neue">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decimal"/>
      <w:lvlText w:val="%1."/>
      <w:lvlJc w:val="left"/>
      <w:pPr>
        <w:tabs>
          <w:tab w:val="num" w:pos="900"/>
        </w:tabs>
        <w:ind w:left="540" w:hanging="360"/>
      </w:pPr>
    </w:lvl>
  </w:abstractNum>
  <w:abstractNum w:abstractNumId="2">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3">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4">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5">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6">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7">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8">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9">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10">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1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12">
    <w:multiLevelType w:val="hybridMultilevel"/>
    <w:lvl w:ilvl="0">
      <w:start w:val="1"/>
      <w:numFmt w:val="decimal"/>
      <w:lvlText w:val="%1."/>
      <w:lvlJc w:val="left"/>
      <w:pPr>
        <w:tabs>
          <w:tab w:val="num" w:pos="900"/>
        </w:tabs>
        <w:ind w:left="540" w:hanging="360"/>
      </w:pPr>
    </w:lvl>
  </w:abstractNum>
  <w:abstractNum w:abstractNumId="13">
    <w:multiLevelType w:val="hybridMultilevel"/>
    <w:lvl w:ilvl="0">
      <w:start w:val="10"/>
      <w:numFmt w:val="decimal"/>
      <w:lvlText w:val="%1."/>
      <w:lvlJc w:val="left"/>
      <w:pPr>
        <w:tabs>
          <w:tab w:val="num" w:pos="900"/>
        </w:tabs>
        <w:ind w:left="540" w:hanging="360"/>
      </w:pPr>
    </w:lvl>
  </w:abstractNum>
  <w:abstractNum w:abstractNumId="14">
    <w:multiLevelType w:val="hybridMultilevel"/>
    <w:lvl w:ilvl="0">
      <w:start w:val="11"/>
      <w:numFmt w:val="decimal"/>
      <w:lvlText w:val="%1."/>
      <w:lvlJc w:val="left"/>
      <w:pPr>
        <w:tabs>
          <w:tab w:val="num" w:pos="900"/>
        </w:tabs>
        <w:ind w:left="540" w:hanging="360"/>
      </w:pPr>
    </w:lvl>
  </w:abstractNum>
  <w:abstractNum w:abstractNumId="15">
    <w:multiLevelType w:val="hybridMultilevel"/>
    <w:lvl w:ilvl="0">
      <w:start w:val="12"/>
      <w:numFmt w:val="decimal"/>
      <w:lvlText w:val="%1."/>
      <w:lvlJc w:val="left"/>
      <w:pPr>
        <w:tabs>
          <w:tab w:val="num" w:pos="900"/>
        </w:tabs>
        <w:ind w:left="540" w:hanging="360"/>
      </w:pPr>
    </w:lvl>
  </w:abstractNum>
  <w:abstractNum w:abstractNumId="16">
    <w:multiLevelType w:val="hybridMultilevel"/>
    <w:lvl w:ilvl="0">
      <w:start w:val="14"/>
      <w:numFmt w:val="decimal"/>
      <w:lvlText w:val="%1."/>
      <w:lvlJc w:val="left"/>
      <w:pPr>
        <w:tabs>
          <w:tab w:val="num" w:pos="900"/>
        </w:tabs>
        <w:ind w:left="5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en-US"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cademia.edu" TargetMode="External"/><Relationship Id="rId6" Type="http://schemas.openxmlformats.org/officeDocument/2006/relationships/hyperlink" Target="http://Academia.edu" TargetMode="External"/><Relationship Id="rId7" Type="http://schemas.openxmlformats.org/officeDocument/2006/relationships/hyperlink" Target="http://Academia.edu" TargetMode="External"/><Relationship Id="rId8" Type="http://schemas.openxmlformats.org/officeDocument/2006/relationships/hyperlink" Target="http://Academia.edu" TargetMode="External"/><Relationship Id="rId9" Type="http://schemas.openxmlformats.org/officeDocument/2006/relationships/hyperlink" Target="http://Academia.edu" TargetMode="External"/><Relationship Id="rId10" Type="http://schemas.openxmlformats.org/officeDocument/2006/relationships/hyperlink" Target="https://waveformer6.substack.com/podcast" TargetMode="External"/><Relationship Id="rId11" Type="http://schemas.openxmlformats.org/officeDocument/2006/relationships/hyperlink" Target="https://github.com/topics/bci?l=typescript&amp;o=asc&amp;s=forks" TargetMode="External"/><Relationship Id="rId12" Type="http://schemas.openxmlformats.org/officeDocument/2006/relationships/hyperlink" Target="https://www.linkedin.com/in/brandon-hines-218374370" TargetMode="External"/><Relationship Id="rId13" Type="http://schemas.openxmlformats.org/officeDocument/2006/relationships/hyperlink" Target="https://waveformer6.substack.com/p/beyond-the-algorithm-why-portalogics" TargetMode="External"/><Relationship Id="rId14" Type="http://schemas.openxmlformats.org/officeDocument/2006/relationships/hyperlink" Target="https://www.academia.edu/144431186/The_Law_of_Semantic_Energy_Extending_Einsteins_Mass_Energy_Equivalence_to_Consciousness_and_Information_A_Unified_Framework_for_Quantifying_Consciousness_Information_Coherence_and_Economic_Value" TargetMode="External"/><Relationship Id="rId15" Type="http://schemas.openxmlformats.org/officeDocument/2006/relationships/hyperlink" Target="https://independent.academia.edu/BrandonHines9" TargetMode="External"/><Relationship Id="rId16" Type="http://schemas.openxmlformats.org/officeDocument/2006/relationships/hyperlink" Target="https://waveformer6.substack.com/about" TargetMode="External"/><Relationship Id="rId17" Type="http://schemas.openxmlformats.org/officeDocument/2006/relationships/hyperlink" Target="https://waveformer6.substack.com/p/the-genius-economist-of-neural-capitalism" TargetMode="External"/><Relationship Id="rId18" Type="http://schemas.openxmlformats.org/officeDocument/2006/relationships/hyperlink" Target="https://www.academia.edu/165476383/Enviromental_Scanning_Dalam_Perencanaan_SDM" TargetMode="External"/><Relationship Id="rId19" Type="http://schemas.openxmlformats.org/officeDocument/2006/relationships/hyperlink" Target="https://www.perplexity.ai/search/3829e3d3-c387-4c29-bcd9-13ec2d3c21d6" TargetMode="External"/><Relationship Id="rId20" Type="http://schemas.openxmlformats.org/officeDocument/2006/relationships/hyperlink" Target="https://www.youtube.com/watch?v=NTwuAnaNq7g" TargetMode="External"/><Relationship Id="rId21" Type="http://schemas.openxmlformats.org/officeDocument/2006/relationships/hyperlink" Target="https://www.academia.edu/144250466/Navigating_the_Path_to_Success_Legal_Community_and_Marketing_Strategies_for_VOLTS_Cryptocurrency" TargetMode="External"/><Relationship Id="rId22" Type="http://schemas.openxmlformats.org/officeDocument/2006/relationships/hyperlink" Target="https://www.youtube.com/watch?v=iLrPjWTDv0k" TargetMode="External"/><Relationship Id="rId23" Type="http://schemas.openxmlformats.org/officeDocument/2006/relationships/hyperlink" Target="https://www.perplexity.ai/search/f38e6731-5e57-4c74-a908-9f980ee36617" TargetMode="External"/><Relationship Id="rId24" Type="http://schemas.openxmlformats.org/officeDocument/2006/relationships/hyperlink" Target="https://www.techsciresearch.com/report/human-capital-management-market/22851.html" TargetMode="External"/><Relationship Id="rId25" Type="http://schemas.openxmlformats.org/officeDocument/2006/relationships/hyperlink" Target="https://www.precedenceresearch.com/neurotechnology-market" TargetMode="External"/><Relationship Id="rId26" Type="http://schemas.openxmlformats.org/officeDocument/2006/relationships/hyperlink" Target="https://www.grandviewresearch.com/industry-analysis/artificial-intelligence-ai-market" TargetMode="External"/><Relationship Id="rId27" Type="http://schemas.openxmlformats.org/officeDocument/2006/relationships/hyperlink" Target="https://www.youtube.com/watch?v=mopCrH1N7ds" TargetMode="External"/><Relationship Id="rId28" Type="http://schemas.openxmlformats.org/officeDocument/2006/relationships/hyperlink" Target="https://www.perplexity.ai/search/ed56ae41-7b80-4c52-9cd7-361e643319a6"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2026-05-22T11:50:34.554Z</dcterms:created>
  <dcterms:modified xsi:type="dcterms:W3CDTF">2026-05-22T11:50:34.554Z</dcterms:modified>
</cp:coreProperties>
</file>